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3EC01" w14:textId="77777777" w:rsidR="00937FDC" w:rsidRPr="0009718F" w:rsidRDefault="00937FDC" w:rsidP="00937FDC">
      <w:pPr>
        <w:pStyle w:val="Heading1"/>
        <w:ind w:right="-288"/>
        <w:jc w:val="center"/>
        <w:rPr>
          <w:rFonts w:ascii="Book Antiqua" w:hAnsi="Book Antiqua"/>
          <w:szCs w:val="24"/>
        </w:rPr>
      </w:pPr>
      <w:bookmarkStart w:id="0" w:name="_GoBack"/>
      <w:bookmarkEnd w:id="0"/>
      <w:r w:rsidRPr="0009718F">
        <w:rPr>
          <w:rFonts w:ascii="Book Antiqua" w:hAnsi="Book Antiqua"/>
          <w:szCs w:val="24"/>
        </w:rPr>
        <w:t>PERMAJU INDUSTRIES BERHAD</w:t>
      </w:r>
    </w:p>
    <w:p w14:paraId="1541C4AC" w14:textId="77777777" w:rsidR="00937FDC" w:rsidRPr="0009718F" w:rsidRDefault="00937FDC" w:rsidP="00937FDC">
      <w:pPr>
        <w:ind w:right="-288"/>
        <w:jc w:val="center"/>
        <w:rPr>
          <w:sz w:val="24"/>
          <w:szCs w:val="24"/>
        </w:rPr>
      </w:pPr>
      <w:r w:rsidRPr="0009718F">
        <w:rPr>
          <w:sz w:val="24"/>
          <w:szCs w:val="24"/>
        </w:rPr>
        <w:t>(Incorporated in Malaysia) Company No. 379057-V</w:t>
      </w:r>
    </w:p>
    <w:p w14:paraId="1722B9F4" w14:textId="77777777" w:rsidR="00937FDC" w:rsidRPr="0009718F" w:rsidRDefault="00937FDC" w:rsidP="00937FDC">
      <w:pPr>
        <w:ind w:right="-288"/>
        <w:rPr>
          <w:sz w:val="24"/>
          <w:szCs w:val="24"/>
        </w:rPr>
      </w:pPr>
    </w:p>
    <w:p w14:paraId="2A447359" w14:textId="77777777" w:rsidR="00906765" w:rsidRPr="0009718F" w:rsidRDefault="00937FDC" w:rsidP="00937FDC">
      <w:pPr>
        <w:pStyle w:val="Heading1"/>
        <w:ind w:right="-288"/>
        <w:jc w:val="center"/>
        <w:rPr>
          <w:szCs w:val="24"/>
          <w:lang w:val="en-US"/>
        </w:rPr>
      </w:pPr>
      <w:r w:rsidRPr="0009718F">
        <w:rPr>
          <w:szCs w:val="24"/>
        </w:rPr>
        <w:t>INTERIM REPORT FOR THE FINANCIAL QUARTER</w:t>
      </w:r>
    </w:p>
    <w:p w14:paraId="1F09EF88" w14:textId="361150FD" w:rsidR="00937FDC" w:rsidRPr="0009718F" w:rsidRDefault="00937FDC" w:rsidP="00937FDC">
      <w:pPr>
        <w:pStyle w:val="Heading1"/>
        <w:ind w:right="-288"/>
        <w:jc w:val="center"/>
        <w:rPr>
          <w:szCs w:val="24"/>
          <w:lang w:val="en-US"/>
        </w:rPr>
      </w:pPr>
      <w:r w:rsidRPr="0009718F">
        <w:rPr>
          <w:szCs w:val="24"/>
        </w:rPr>
        <w:t xml:space="preserve">ENDED </w:t>
      </w:r>
      <w:r w:rsidR="00A21734" w:rsidRPr="0009718F">
        <w:rPr>
          <w:szCs w:val="24"/>
          <w:lang w:val="en-MY"/>
        </w:rPr>
        <w:t xml:space="preserve">30TH </w:t>
      </w:r>
      <w:r w:rsidR="001D7CF9" w:rsidRPr="0009718F">
        <w:rPr>
          <w:szCs w:val="24"/>
          <w:lang w:val="en-MY"/>
        </w:rPr>
        <w:t>SEPTEMBER</w:t>
      </w:r>
      <w:r w:rsidR="00C438C5" w:rsidRPr="0009718F">
        <w:rPr>
          <w:szCs w:val="24"/>
          <w:lang w:val="en-US"/>
        </w:rPr>
        <w:t xml:space="preserve"> 2017</w:t>
      </w:r>
    </w:p>
    <w:p w14:paraId="5B36F1D9" w14:textId="77777777" w:rsidR="00937FDC" w:rsidRPr="0009718F" w:rsidRDefault="00937FDC" w:rsidP="00937FDC">
      <w:pPr>
        <w:ind w:right="-288"/>
        <w:jc w:val="center"/>
        <w:rPr>
          <w:sz w:val="24"/>
          <w:szCs w:val="24"/>
        </w:rPr>
      </w:pPr>
      <w:r w:rsidRPr="0009718F">
        <w:rPr>
          <w:sz w:val="24"/>
          <w:szCs w:val="24"/>
        </w:rPr>
        <w:t>---------------------------------------------------------------------------------</w:t>
      </w:r>
    </w:p>
    <w:p w14:paraId="65E8E992" w14:textId="77777777" w:rsidR="00937FDC" w:rsidRPr="0009718F" w:rsidRDefault="00937FDC" w:rsidP="00937FDC">
      <w:pPr>
        <w:pStyle w:val="Heading3"/>
        <w:ind w:right="-288"/>
        <w:rPr>
          <w:szCs w:val="24"/>
        </w:rPr>
      </w:pPr>
    </w:p>
    <w:p w14:paraId="33557AC7" w14:textId="515CBA93" w:rsidR="00937FDC" w:rsidRPr="0009718F" w:rsidRDefault="00937FDC" w:rsidP="00937FDC">
      <w:pPr>
        <w:pStyle w:val="Heading3"/>
        <w:rPr>
          <w:szCs w:val="24"/>
          <w:lang w:val="en-US"/>
        </w:rPr>
      </w:pPr>
      <w:r w:rsidRPr="0009718F">
        <w:rPr>
          <w:szCs w:val="24"/>
        </w:rPr>
        <w:t xml:space="preserve">NOTES TO THE UNAUDITED FINANCIAL STATEMENTS </w:t>
      </w:r>
      <w:r w:rsidR="00465075" w:rsidRPr="0009718F">
        <w:rPr>
          <w:szCs w:val="24"/>
        </w:rPr>
        <w:t xml:space="preserve">FOR THE FINANCIAL PERIOD ENDED </w:t>
      </w:r>
      <w:r w:rsidR="00A21734" w:rsidRPr="0009718F">
        <w:rPr>
          <w:szCs w:val="24"/>
          <w:lang w:val="en-US"/>
        </w:rPr>
        <w:t xml:space="preserve">30TH </w:t>
      </w:r>
      <w:r w:rsidR="001D7CF9" w:rsidRPr="0009718F">
        <w:rPr>
          <w:szCs w:val="24"/>
          <w:lang w:val="en-US"/>
        </w:rPr>
        <w:t>SEPTEMBER</w:t>
      </w:r>
      <w:r w:rsidR="00C438C5" w:rsidRPr="0009718F">
        <w:rPr>
          <w:szCs w:val="24"/>
          <w:lang w:val="en-US"/>
        </w:rPr>
        <w:t xml:space="preserve"> 2017</w:t>
      </w:r>
    </w:p>
    <w:p w14:paraId="7153FDFB" w14:textId="77777777" w:rsidR="00937FDC" w:rsidRPr="0009718F" w:rsidRDefault="00937FDC" w:rsidP="00937FDC">
      <w:pPr>
        <w:ind w:right="-288"/>
        <w:jc w:val="both"/>
        <w:rPr>
          <w:sz w:val="24"/>
          <w:szCs w:val="24"/>
        </w:rPr>
      </w:pPr>
    </w:p>
    <w:p w14:paraId="3E437048" w14:textId="77777777" w:rsidR="00937FDC" w:rsidRPr="0009718F" w:rsidRDefault="00937FDC" w:rsidP="00937FDC">
      <w:pPr>
        <w:pStyle w:val="Heading3"/>
        <w:ind w:right="-288"/>
        <w:rPr>
          <w:szCs w:val="24"/>
        </w:rPr>
      </w:pPr>
      <w:r w:rsidRPr="0009718F">
        <w:rPr>
          <w:szCs w:val="24"/>
        </w:rPr>
        <w:t>PART A – EXPLANATORY NOTES PURSUANT TO FRS 134</w:t>
      </w:r>
    </w:p>
    <w:p w14:paraId="3C375BCA" w14:textId="77777777" w:rsidR="00937FDC" w:rsidRPr="0009718F" w:rsidRDefault="00937FDC" w:rsidP="00937FDC">
      <w:pPr>
        <w:ind w:right="-288"/>
        <w:jc w:val="both"/>
        <w:rPr>
          <w:sz w:val="24"/>
          <w:szCs w:val="24"/>
        </w:rPr>
      </w:pPr>
    </w:p>
    <w:p w14:paraId="32C921DC" w14:textId="77777777" w:rsidR="00937FDC" w:rsidRPr="0009718F" w:rsidRDefault="00937FDC" w:rsidP="00D92E8B">
      <w:pPr>
        <w:pStyle w:val="ListParagraph"/>
        <w:numPr>
          <w:ilvl w:val="0"/>
          <w:numId w:val="1"/>
        </w:numPr>
        <w:tabs>
          <w:tab w:val="num" w:pos="360"/>
        </w:tabs>
        <w:ind w:hanging="720"/>
        <w:jc w:val="both"/>
        <w:rPr>
          <w:sz w:val="24"/>
          <w:szCs w:val="24"/>
        </w:rPr>
      </w:pPr>
      <w:r w:rsidRPr="0009718F">
        <w:rPr>
          <w:sz w:val="24"/>
          <w:szCs w:val="24"/>
        </w:rPr>
        <w:t>BASIS OF PREPARATION</w:t>
      </w:r>
    </w:p>
    <w:p w14:paraId="6924C7B7" w14:textId="77777777" w:rsidR="00937FDC" w:rsidRPr="0009718F" w:rsidRDefault="00937FDC" w:rsidP="00937FDC">
      <w:pPr>
        <w:ind w:left="360"/>
        <w:jc w:val="both"/>
        <w:rPr>
          <w:sz w:val="16"/>
          <w:szCs w:val="16"/>
        </w:rPr>
      </w:pPr>
    </w:p>
    <w:p w14:paraId="430EACAB" w14:textId="77777777" w:rsidR="00937FDC" w:rsidRPr="0009718F" w:rsidRDefault="00937FDC" w:rsidP="00937FDC">
      <w:pPr>
        <w:ind w:left="360" w:right="-288"/>
        <w:jc w:val="both"/>
        <w:rPr>
          <w:sz w:val="24"/>
          <w:szCs w:val="24"/>
        </w:rPr>
      </w:pPr>
      <w:r w:rsidRPr="0009718F">
        <w:rPr>
          <w:sz w:val="24"/>
          <w:szCs w:val="24"/>
        </w:rPr>
        <w:t>The interim financial statements of the Group are unaudited and have been prepared in accordance with the requirements of FRS 134: Interim Financial Reporting and Paragraph 9.22 of the Main Market Listing Requirements of Bursa Malaysia Securities Berhad.</w:t>
      </w:r>
    </w:p>
    <w:p w14:paraId="2502F942" w14:textId="77777777" w:rsidR="00937FDC" w:rsidRPr="0009718F" w:rsidRDefault="00937FDC" w:rsidP="00937FDC">
      <w:pPr>
        <w:ind w:left="360" w:right="-288"/>
        <w:jc w:val="both"/>
        <w:rPr>
          <w:sz w:val="16"/>
          <w:szCs w:val="16"/>
        </w:rPr>
      </w:pPr>
    </w:p>
    <w:p w14:paraId="7E212A58" w14:textId="78F02113" w:rsidR="00937FDC" w:rsidRPr="0009718F" w:rsidRDefault="00937FDC" w:rsidP="00937FDC">
      <w:pPr>
        <w:ind w:left="360" w:right="-288"/>
        <w:jc w:val="both"/>
        <w:rPr>
          <w:sz w:val="24"/>
          <w:szCs w:val="24"/>
        </w:rPr>
      </w:pPr>
      <w:r w:rsidRPr="0009718F">
        <w:rPr>
          <w:sz w:val="24"/>
          <w:szCs w:val="24"/>
        </w:rPr>
        <w:t>The interim financial statements should be read in conjunction with the audited financial statements for the year ended 31</w:t>
      </w:r>
      <w:r w:rsidR="006D3094" w:rsidRPr="0009718F">
        <w:rPr>
          <w:sz w:val="24"/>
          <w:szCs w:val="24"/>
        </w:rPr>
        <w:t>st</w:t>
      </w:r>
      <w:r w:rsidRPr="0009718F">
        <w:rPr>
          <w:sz w:val="24"/>
          <w:szCs w:val="24"/>
        </w:rPr>
        <w:t xml:space="preserve"> December </w:t>
      </w:r>
      <w:r w:rsidR="00C438C5" w:rsidRPr="0009718F">
        <w:rPr>
          <w:sz w:val="24"/>
          <w:szCs w:val="24"/>
        </w:rPr>
        <w:t>2016</w:t>
      </w:r>
      <w:r w:rsidRPr="0009718F">
        <w:rPr>
          <w:sz w:val="24"/>
          <w:szCs w:val="24"/>
        </w:rPr>
        <w:t>. These explanatory notes attached to the interim financial statements provide an explanation of events and transactions that are significant to an understanding of the changes in the financial position and performance of the Group since the year ended 31</w:t>
      </w:r>
      <w:r w:rsidR="006D3094" w:rsidRPr="0009718F">
        <w:rPr>
          <w:sz w:val="24"/>
          <w:szCs w:val="24"/>
        </w:rPr>
        <w:t>st</w:t>
      </w:r>
      <w:r w:rsidRPr="0009718F">
        <w:rPr>
          <w:sz w:val="24"/>
          <w:szCs w:val="24"/>
        </w:rPr>
        <w:t xml:space="preserve"> December </w:t>
      </w:r>
      <w:r w:rsidR="00C438C5" w:rsidRPr="0009718F">
        <w:rPr>
          <w:sz w:val="24"/>
          <w:szCs w:val="24"/>
        </w:rPr>
        <w:t>2016</w:t>
      </w:r>
      <w:r w:rsidRPr="0009718F">
        <w:rPr>
          <w:sz w:val="24"/>
          <w:szCs w:val="24"/>
        </w:rPr>
        <w:t>.</w:t>
      </w:r>
    </w:p>
    <w:p w14:paraId="447EDE99" w14:textId="77777777" w:rsidR="00721D89" w:rsidRPr="0009718F" w:rsidRDefault="00721D89" w:rsidP="00937FDC">
      <w:pPr>
        <w:ind w:left="360" w:right="-288"/>
        <w:jc w:val="both"/>
        <w:rPr>
          <w:sz w:val="24"/>
          <w:szCs w:val="24"/>
        </w:rPr>
      </w:pPr>
    </w:p>
    <w:p w14:paraId="59627C36" w14:textId="77777777" w:rsidR="00937FDC" w:rsidRPr="0009718F" w:rsidRDefault="00937FDC" w:rsidP="00937FDC">
      <w:pPr>
        <w:tabs>
          <w:tab w:val="left" w:pos="540"/>
        </w:tabs>
        <w:ind w:right="-288"/>
        <w:jc w:val="both"/>
        <w:rPr>
          <w:sz w:val="16"/>
          <w:szCs w:val="16"/>
        </w:rPr>
      </w:pPr>
    </w:p>
    <w:p w14:paraId="32440267" w14:textId="77777777" w:rsidR="00937FDC" w:rsidRPr="0009718F" w:rsidRDefault="00937FDC" w:rsidP="00937FDC">
      <w:pPr>
        <w:tabs>
          <w:tab w:val="left" w:pos="360"/>
        </w:tabs>
        <w:ind w:right="-288"/>
        <w:jc w:val="both"/>
        <w:rPr>
          <w:sz w:val="24"/>
          <w:szCs w:val="24"/>
        </w:rPr>
      </w:pPr>
      <w:r w:rsidRPr="0009718F">
        <w:rPr>
          <w:sz w:val="24"/>
          <w:szCs w:val="24"/>
        </w:rPr>
        <w:t>2.</w:t>
      </w:r>
      <w:r w:rsidRPr="0009718F">
        <w:rPr>
          <w:sz w:val="24"/>
          <w:szCs w:val="24"/>
        </w:rPr>
        <w:tab/>
        <w:t>SIGNIFICANT ACCOUNTING POLICIES</w:t>
      </w:r>
    </w:p>
    <w:p w14:paraId="761CFAA3" w14:textId="77777777" w:rsidR="00937FDC" w:rsidRPr="0009718F" w:rsidRDefault="00937FDC" w:rsidP="00937FDC">
      <w:pPr>
        <w:ind w:left="360" w:right="-288"/>
        <w:jc w:val="both"/>
        <w:rPr>
          <w:sz w:val="16"/>
          <w:szCs w:val="16"/>
        </w:rPr>
      </w:pPr>
    </w:p>
    <w:p w14:paraId="50C83B85" w14:textId="2F31C8EB" w:rsidR="001F7E06" w:rsidRPr="0009718F" w:rsidRDefault="00937FDC" w:rsidP="006C417B">
      <w:pPr>
        <w:ind w:left="360" w:right="-331"/>
        <w:jc w:val="both"/>
        <w:rPr>
          <w:sz w:val="24"/>
          <w:szCs w:val="24"/>
        </w:rPr>
      </w:pPr>
      <w:r w:rsidRPr="0009718F">
        <w:rPr>
          <w:sz w:val="24"/>
          <w:szCs w:val="24"/>
        </w:rPr>
        <w:t>The accounting policies, methods of computation and basis of consolidation adopted by the Group in this interim financial report are consistent with those adopted in the most recent annual audited financial statements for the financial year ended 31</w:t>
      </w:r>
      <w:r w:rsidR="00D91433" w:rsidRPr="0009718F">
        <w:rPr>
          <w:sz w:val="24"/>
          <w:szCs w:val="24"/>
        </w:rPr>
        <w:t>st</w:t>
      </w:r>
      <w:r w:rsidRPr="0009718F">
        <w:rPr>
          <w:sz w:val="24"/>
          <w:szCs w:val="24"/>
        </w:rPr>
        <w:t xml:space="preserve"> December 201</w:t>
      </w:r>
      <w:r w:rsidR="00942A93" w:rsidRPr="0009718F">
        <w:rPr>
          <w:sz w:val="24"/>
          <w:szCs w:val="24"/>
        </w:rPr>
        <w:t>6</w:t>
      </w:r>
      <w:r w:rsidR="006C417B" w:rsidRPr="0009718F">
        <w:rPr>
          <w:sz w:val="24"/>
          <w:szCs w:val="24"/>
        </w:rPr>
        <w:t xml:space="preserve"> except as follows:</w:t>
      </w:r>
    </w:p>
    <w:p w14:paraId="2CA04458" w14:textId="77777777" w:rsidR="001F7E06" w:rsidRPr="0009718F" w:rsidRDefault="001F7E06" w:rsidP="006C417B">
      <w:pPr>
        <w:ind w:left="360" w:right="-331"/>
        <w:jc w:val="both"/>
        <w:rPr>
          <w:sz w:val="24"/>
          <w:szCs w:val="24"/>
        </w:rPr>
      </w:pPr>
    </w:p>
    <w:p w14:paraId="21A37B16" w14:textId="43E00F21" w:rsidR="004C6980" w:rsidRPr="0009718F" w:rsidRDefault="004C6980" w:rsidP="004C6980">
      <w:pPr>
        <w:pStyle w:val="BodyText"/>
        <w:numPr>
          <w:ilvl w:val="0"/>
          <w:numId w:val="11"/>
        </w:numPr>
        <w:ind w:left="851" w:right="29" w:hanging="425"/>
        <w:rPr>
          <w:szCs w:val="24"/>
        </w:rPr>
      </w:pPr>
      <w:r w:rsidRPr="0009718F">
        <w:rPr>
          <w:sz w:val="24"/>
          <w:szCs w:val="24"/>
        </w:rPr>
        <w:t xml:space="preserve">On 1 January 2017, the Group and the Company adopted the following new </w:t>
      </w:r>
      <w:r w:rsidR="00A13507" w:rsidRPr="0009718F">
        <w:rPr>
          <w:sz w:val="24"/>
          <w:szCs w:val="24"/>
          <w:lang w:val="en-GB"/>
        </w:rPr>
        <w:t xml:space="preserve">Amendments to Financial Reporting Standards (FRS) </w:t>
      </w:r>
      <w:r w:rsidRPr="0009718F">
        <w:rPr>
          <w:sz w:val="24"/>
          <w:szCs w:val="24"/>
        </w:rPr>
        <w:t>for annual financial periods beginning on or after 1 January 2017.</w:t>
      </w:r>
    </w:p>
    <w:p w14:paraId="3E697E7A" w14:textId="77777777" w:rsidR="004C6980" w:rsidRPr="0009718F" w:rsidRDefault="004C6980" w:rsidP="006C417B">
      <w:pPr>
        <w:ind w:left="360" w:right="-331"/>
        <w:jc w:val="both"/>
        <w:rPr>
          <w:sz w:val="24"/>
          <w:szCs w:val="24"/>
        </w:rPr>
      </w:pPr>
    </w:p>
    <w:tbl>
      <w:tblPr>
        <w:tblW w:w="865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2160"/>
      </w:tblGrid>
      <w:tr w:rsidR="0009718F" w:rsidRPr="0009718F" w14:paraId="7A6604D7" w14:textId="77777777" w:rsidTr="0081720D">
        <w:tc>
          <w:tcPr>
            <w:tcW w:w="6498" w:type="dxa"/>
            <w:tcBorders>
              <w:top w:val="nil"/>
              <w:left w:val="nil"/>
              <w:bottom w:val="nil"/>
              <w:right w:val="nil"/>
            </w:tcBorders>
          </w:tcPr>
          <w:p w14:paraId="10C2A633" w14:textId="77777777" w:rsidR="004C6980" w:rsidRPr="0009718F" w:rsidRDefault="004C6980" w:rsidP="004C6980">
            <w:pPr>
              <w:tabs>
                <w:tab w:val="left" w:pos="1080"/>
                <w:tab w:val="left" w:pos="1260"/>
              </w:tabs>
              <w:ind w:right="-18"/>
              <w:rPr>
                <w:b/>
                <w:sz w:val="24"/>
                <w:szCs w:val="24"/>
              </w:rPr>
            </w:pPr>
          </w:p>
          <w:p w14:paraId="166EBFB5" w14:textId="77777777" w:rsidR="004C6980" w:rsidRPr="0009718F" w:rsidRDefault="004C6980" w:rsidP="004C6980">
            <w:pPr>
              <w:tabs>
                <w:tab w:val="left" w:pos="1080"/>
                <w:tab w:val="left" w:pos="1260"/>
              </w:tabs>
              <w:ind w:right="-18"/>
              <w:rPr>
                <w:b/>
                <w:sz w:val="24"/>
                <w:szCs w:val="24"/>
              </w:rPr>
            </w:pPr>
          </w:p>
          <w:p w14:paraId="31BD39AD" w14:textId="77777777" w:rsidR="004C6980" w:rsidRPr="0009718F" w:rsidRDefault="004C6980" w:rsidP="004C6980">
            <w:pPr>
              <w:tabs>
                <w:tab w:val="left" w:pos="1080"/>
                <w:tab w:val="left" w:pos="1260"/>
              </w:tabs>
              <w:ind w:right="-18"/>
              <w:rPr>
                <w:b/>
                <w:sz w:val="24"/>
                <w:szCs w:val="24"/>
              </w:rPr>
            </w:pPr>
            <w:r w:rsidRPr="0009718F">
              <w:rPr>
                <w:b/>
                <w:sz w:val="24"/>
                <w:szCs w:val="24"/>
              </w:rPr>
              <w:t>Description</w:t>
            </w:r>
          </w:p>
        </w:tc>
        <w:tc>
          <w:tcPr>
            <w:tcW w:w="2160" w:type="dxa"/>
            <w:tcBorders>
              <w:top w:val="nil"/>
              <w:left w:val="nil"/>
              <w:bottom w:val="nil"/>
              <w:right w:val="nil"/>
            </w:tcBorders>
          </w:tcPr>
          <w:p w14:paraId="435A8128" w14:textId="77777777" w:rsidR="004C6980" w:rsidRPr="0009718F" w:rsidRDefault="004C6980" w:rsidP="004C6980">
            <w:pPr>
              <w:tabs>
                <w:tab w:val="left" w:pos="1080"/>
                <w:tab w:val="left" w:pos="1260"/>
              </w:tabs>
              <w:ind w:right="-122"/>
              <w:rPr>
                <w:b/>
                <w:sz w:val="24"/>
                <w:szCs w:val="24"/>
              </w:rPr>
            </w:pPr>
            <w:r w:rsidRPr="0009718F">
              <w:rPr>
                <w:b/>
                <w:sz w:val="24"/>
                <w:szCs w:val="24"/>
              </w:rPr>
              <w:t xml:space="preserve">Effective for annual </w:t>
            </w:r>
          </w:p>
          <w:p w14:paraId="0219B72C" w14:textId="77777777" w:rsidR="004C6980" w:rsidRPr="0009718F" w:rsidRDefault="004C6980" w:rsidP="004C6980">
            <w:pPr>
              <w:tabs>
                <w:tab w:val="left" w:pos="1080"/>
                <w:tab w:val="left" w:pos="1260"/>
              </w:tabs>
              <w:ind w:right="-122"/>
              <w:rPr>
                <w:b/>
                <w:sz w:val="24"/>
                <w:szCs w:val="24"/>
              </w:rPr>
            </w:pPr>
            <w:r w:rsidRPr="0009718F">
              <w:rPr>
                <w:b/>
                <w:sz w:val="24"/>
                <w:szCs w:val="24"/>
              </w:rPr>
              <w:t xml:space="preserve"> periods beginning </w:t>
            </w:r>
          </w:p>
          <w:p w14:paraId="2F94CC15" w14:textId="77777777" w:rsidR="004C6980" w:rsidRPr="0009718F" w:rsidRDefault="004C6980" w:rsidP="004C6980">
            <w:pPr>
              <w:tabs>
                <w:tab w:val="left" w:pos="1080"/>
                <w:tab w:val="left" w:pos="1260"/>
              </w:tabs>
              <w:ind w:right="-122"/>
              <w:rPr>
                <w:b/>
                <w:sz w:val="24"/>
                <w:szCs w:val="24"/>
              </w:rPr>
            </w:pPr>
            <w:r w:rsidRPr="0009718F">
              <w:rPr>
                <w:b/>
                <w:sz w:val="24"/>
                <w:szCs w:val="24"/>
              </w:rPr>
              <w:t xml:space="preserve"> on or after</w:t>
            </w:r>
          </w:p>
        </w:tc>
      </w:tr>
      <w:tr w:rsidR="0009718F" w:rsidRPr="0009718F" w14:paraId="5B2B2BD6"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36D49A53" w14:textId="77777777" w:rsidR="004C6980" w:rsidRPr="0009718F" w:rsidRDefault="004C6980" w:rsidP="004C6980">
            <w:pPr>
              <w:spacing w:line="228" w:lineRule="auto"/>
              <w:jc w:val="both"/>
              <w:rPr>
                <w:sz w:val="24"/>
                <w:szCs w:val="24"/>
                <w:lang w:val="en-GB"/>
              </w:rPr>
            </w:pPr>
            <w:r w:rsidRPr="0009718F">
              <w:rPr>
                <w:sz w:val="24"/>
                <w:szCs w:val="24"/>
                <w:lang w:val="en-GB"/>
              </w:rPr>
              <w:t xml:space="preserve">Amendments to FRS 12: Disclosure of Interests in Other </w:t>
            </w:r>
          </w:p>
          <w:p w14:paraId="1531437D" w14:textId="2ABC88F2" w:rsidR="004C6980" w:rsidRPr="0009718F" w:rsidRDefault="004C6980" w:rsidP="004C6980">
            <w:pPr>
              <w:spacing w:line="228" w:lineRule="auto"/>
              <w:jc w:val="both"/>
              <w:rPr>
                <w:sz w:val="24"/>
                <w:szCs w:val="24"/>
                <w:lang w:val="en-GB"/>
              </w:rPr>
            </w:pPr>
            <w:r w:rsidRPr="0009718F">
              <w:rPr>
                <w:sz w:val="24"/>
                <w:szCs w:val="24"/>
                <w:lang w:val="en-GB"/>
              </w:rPr>
              <w:t xml:space="preserve">   Entities (Annual Improvements to FRS Standards 2014 –</w:t>
            </w:r>
          </w:p>
          <w:p w14:paraId="1DF6C404" w14:textId="1DDE8575" w:rsidR="004C6980" w:rsidRPr="0009718F" w:rsidRDefault="004C6980" w:rsidP="004C6980">
            <w:pPr>
              <w:spacing w:line="228" w:lineRule="auto"/>
              <w:jc w:val="both"/>
              <w:rPr>
                <w:sz w:val="24"/>
                <w:szCs w:val="24"/>
                <w:lang w:val="en-GB"/>
              </w:rPr>
            </w:pPr>
            <w:r w:rsidRPr="0009718F">
              <w:rPr>
                <w:sz w:val="24"/>
                <w:szCs w:val="24"/>
                <w:lang w:val="en-GB"/>
              </w:rPr>
              <w:t xml:space="preserve">   2016 Cycle)</w:t>
            </w:r>
          </w:p>
        </w:tc>
        <w:tc>
          <w:tcPr>
            <w:tcW w:w="2160" w:type="dxa"/>
            <w:shd w:val="clear" w:color="auto" w:fill="auto"/>
          </w:tcPr>
          <w:p w14:paraId="1ECA8A5F" w14:textId="77777777" w:rsidR="004C6980" w:rsidRPr="0009718F" w:rsidRDefault="004C6980" w:rsidP="004C6980">
            <w:pPr>
              <w:spacing w:line="228" w:lineRule="auto"/>
              <w:jc w:val="both"/>
              <w:rPr>
                <w:sz w:val="24"/>
                <w:szCs w:val="24"/>
              </w:rPr>
            </w:pPr>
            <w:r w:rsidRPr="0009718F">
              <w:rPr>
                <w:sz w:val="24"/>
                <w:szCs w:val="24"/>
              </w:rPr>
              <w:t>1 January 2017</w:t>
            </w:r>
          </w:p>
        </w:tc>
      </w:tr>
      <w:tr w:rsidR="0009718F" w:rsidRPr="0009718F" w14:paraId="6571537E"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223D9BF7" w14:textId="77777777" w:rsidR="004C6980" w:rsidRPr="0009718F" w:rsidRDefault="004C6980" w:rsidP="004C6980">
            <w:pPr>
              <w:spacing w:line="228" w:lineRule="auto"/>
              <w:jc w:val="both"/>
              <w:rPr>
                <w:sz w:val="24"/>
                <w:szCs w:val="24"/>
                <w:lang w:val="en-GB"/>
              </w:rPr>
            </w:pPr>
            <w:r w:rsidRPr="0009718F">
              <w:rPr>
                <w:sz w:val="24"/>
                <w:szCs w:val="24"/>
                <w:lang w:val="en-GB"/>
              </w:rPr>
              <w:t>Amendments to FRS 107: Disclosure Initiative</w:t>
            </w:r>
          </w:p>
        </w:tc>
        <w:tc>
          <w:tcPr>
            <w:tcW w:w="2160" w:type="dxa"/>
            <w:shd w:val="clear" w:color="auto" w:fill="auto"/>
          </w:tcPr>
          <w:p w14:paraId="309529CC" w14:textId="77777777" w:rsidR="004C6980" w:rsidRPr="0009718F" w:rsidRDefault="004C6980" w:rsidP="004C6980">
            <w:pPr>
              <w:spacing w:line="228" w:lineRule="auto"/>
              <w:jc w:val="both"/>
              <w:rPr>
                <w:sz w:val="24"/>
                <w:szCs w:val="24"/>
              </w:rPr>
            </w:pPr>
            <w:r w:rsidRPr="0009718F">
              <w:rPr>
                <w:sz w:val="24"/>
                <w:szCs w:val="24"/>
              </w:rPr>
              <w:t>1 January 2017</w:t>
            </w:r>
          </w:p>
        </w:tc>
      </w:tr>
      <w:tr w:rsidR="004C6980" w:rsidRPr="0009718F" w14:paraId="4AA5C4C8"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479D078D" w14:textId="77777777" w:rsidR="004C6980" w:rsidRPr="0009718F" w:rsidRDefault="004C6980" w:rsidP="004C6980">
            <w:pPr>
              <w:spacing w:line="228" w:lineRule="auto"/>
              <w:rPr>
                <w:sz w:val="24"/>
                <w:szCs w:val="24"/>
                <w:lang w:val="en-GB"/>
              </w:rPr>
            </w:pPr>
            <w:r w:rsidRPr="0009718F">
              <w:rPr>
                <w:sz w:val="24"/>
                <w:szCs w:val="24"/>
                <w:lang w:val="en-GB"/>
              </w:rPr>
              <w:t xml:space="preserve">Amendments to FRS 112: Recognition of Deferred Tax </w:t>
            </w:r>
          </w:p>
          <w:p w14:paraId="6E3792F2" w14:textId="7CB28F4D" w:rsidR="004C6980" w:rsidRPr="0009718F" w:rsidRDefault="004C6980" w:rsidP="004C6980">
            <w:pPr>
              <w:spacing w:line="228" w:lineRule="auto"/>
              <w:rPr>
                <w:sz w:val="24"/>
                <w:szCs w:val="24"/>
                <w:lang w:val="en-GB"/>
              </w:rPr>
            </w:pPr>
            <w:r w:rsidRPr="0009718F">
              <w:rPr>
                <w:sz w:val="24"/>
                <w:szCs w:val="24"/>
                <w:lang w:val="en-GB"/>
              </w:rPr>
              <w:t xml:space="preserve">   Assets for Unrealised Losses</w:t>
            </w:r>
          </w:p>
        </w:tc>
        <w:tc>
          <w:tcPr>
            <w:tcW w:w="2160" w:type="dxa"/>
            <w:shd w:val="clear" w:color="auto" w:fill="auto"/>
          </w:tcPr>
          <w:p w14:paraId="650D4F3D" w14:textId="77777777" w:rsidR="004C6980" w:rsidRPr="0009718F" w:rsidRDefault="004C6980" w:rsidP="004C6980">
            <w:pPr>
              <w:spacing w:line="228" w:lineRule="auto"/>
              <w:jc w:val="both"/>
              <w:rPr>
                <w:sz w:val="24"/>
                <w:szCs w:val="24"/>
              </w:rPr>
            </w:pPr>
            <w:r w:rsidRPr="0009718F">
              <w:rPr>
                <w:sz w:val="24"/>
                <w:szCs w:val="24"/>
              </w:rPr>
              <w:t>1 January 2017</w:t>
            </w:r>
          </w:p>
        </w:tc>
      </w:tr>
    </w:tbl>
    <w:p w14:paraId="73CB80F1" w14:textId="77777777" w:rsidR="004C6980" w:rsidRPr="0009718F" w:rsidRDefault="004C6980" w:rsidP="004C6980">
      <w:pPr>
        <w:ind w:left="720"/>
        <w:jc w:val="both"/>
        <w:rPr>
          <w:sz w:val="24"/>
          <w:szCs w:val="24"/>
        </w:rPr>
      </w:pPr>
    </w:p>
    <w:p w14:paraId="07DFCB1F" w14:textId="59EC3247" w:rsidR="005069D0" w:rsidRPr="0009718F" w:rsidRDefault="00AC6DBE" w:rsidP="005069D0">
      <w:pPr>
        <w:ind w:left="720"/>
        <w:jc w:val="both"/>
        <w:rPr>
          <w:sz w:val="24"/>
          <w:szCs w:val="24"/>
        </w:rPr>
      </w:pPr>
      <w:r w:rsidRPr="0009718F">
        <w:rPr>
          <w:sz w:val="24"/>
          <w:szCs w:val="24"/>
        </w:rPr>
        <w:t>Adoption of the above standards and interpretations did not have any significant effect on the financial performance and position of the Group and of the Company.</w:t>
      </w:r>
    </w:p>
    <w:p w14:paraId="2F800827" w14:textId="77777777" w:rsidR="005069D0" w:rsidRPr="0009718F" w:rsidRDefault="005069D0" w:rsidP="005069D0">
      <w:pPr>
        <w:ind w:left="720"/>
        <w:jc w:val="both"/>
        <w:rPr>
          <w:sz w:val="24"/>
          <w:szCs w:val="24"/>
        </w:rPr>
      </w:pPr>
    </w:p>
    <w:p w14:paraId="13F9E416" w14:textId="310DD060" w:rsidR="004C6980" w:rsidRPr="0009718F" w:rsidRDefault="004C6980" w:rsidP="0047182D">
      <w:pPr>
        <w:rPr>
          <w:sz w:val="24"/>
          <w:szCs w:val="24"/>
        </w:rPr>
      </w:pPr>
      <w:r w:rsidRPr="0009718F">
        <w:rPr>
          <w:sz w:val="24"/>
          <w:szCs w:val="24"/>
        </w:rPr>
        <w:br w:type="page"/>
      </w:r>
    </w:p>
    <w:p w14:paraId="36D7516D" w14:textId="77777777" w:rsidR="004C6980" w:rsidRPr="0009718F" w:rsidRDefault="004C6980" w:rsidP="004C6980">
      <w:pPr>
        <w:pStyle w:val="BodyText"/>
        <w:numPr>
          <w:ilvl w:val="0"/>
          <w:numId w:val="1"/>
        </w:numPr>
        <w:ind w:left="426" w:right="29" w:hanging="426"/>
        <w:rPr>
          <w:sz w:val="24"/>
          <w:szCs w:val="24"/>
        </w:rPr>
      </w:pPr>
      <w:r w:rsidRPr="0009718F">
        <w:rPr>
          <w:sz w:val="24"/>
          <w:szCs w:val="24"/>
        </w:rPr>
        <w:lastRenderedPageBreak/>
        <w:t>SIGNIFICANT ACCOUNTING POLICIES</w:t>
      </w:r>
      <w:r w:rsidRPr="0009718F">
        <w:rPr>
          <w:sz w:val="24"/>
          <w:szCs w:val="24"/>
          <w:lang w:val="en-US"/>
        </w:rPr>
        <w:t xml:space="preserve"> ( Cond.t)</w:t>
      </w:r>
    </w:p>
    <w:p w14:paraId="7B7E6B01" w14:textId="77777777" w:rsidR="006D3094" w:rsidRPr="0009718F" w:rsidRDefault="001F7E06" w:rsidP="00D91433">
      <w:pPr>
        <w:jc w:val="both"/>
        <w:rPr>
          <w:b/>
          <w:sz w:val="24"/>
          <w:szCs w:val="24"/>
        </w:rPr>
      </w:pPr>
      <w:r w:rsidRPr="0009718F">
        <w:rPr>
          <w:b/>
          <w:sz w:val="24"/>
          <w:szCs w:val="24"/>
        </w:rPr>
        <w:tab/>
      </w:r>
    </w:p>
    <w:p w14:paraId="6D4BA23C" w14:textId="426FDC91" w:rsidR="004C6980" w:rsidRPr="0009718F" w:rsidRDefault="004C6980" w:rsidP="004C6980">
      <w:pPr>
        <w:pStyle w:val="ListParagraph"/>
        <w:numPr>
          <w:ilvl w:val="0"/>
          <w:numId w:val="11"/>
        </w:numPr>
        <w:rPr>
          <w:sz w:val="24"/>
          <w:szCs w:val="24"/>
        </w:rPr>
      </w:pPr>
      <w:r w:rsidRPr="0009718F">
        <w:rPr>
          <w:sz w:val="24"/>
          <w:szCs w:val="24"/>
        </w:rPr>
        <w:t xml:space="preserve">The standards and interpretations that are issued but not yet effective up to the date of issuance of the Group’s and the Company’s </w:t>
      </w:r>
      <w:r w:rsidR="005069D0" w:rsidRPr="0009718F">
        <w:rPr>
          <w:sz w:val="24"/>
          <w:szCs w:val="24"/>
        </w:rPr>
        <w:t xml:space="preserve">interim </w:t>
      </w:r>
      <w:r w:rsidRPr="0009718F">
        <w:rPr>
          <w:sz w:val="24"/>
          <w:szCs w:val="24"/>
        </w:rPr>
        <w:t xml:space="preserve">financial statements are disclosed below. The Group and the Company intend to adopt these standards, if applicable, when they become effective.  </w:t>
      </w:r>
    </w:p>
    <w:p w14:paraId="0EC3A7BA" w14:textId="77777777" w:rsidR="004C6980" w:rsidRPr="0009718F" w:rsidRDefault="004C6980" w:rsidP="00204816">
      <w:pPr>
        <w:autoSpaceDE w:val="0"/>
        <w:autoSpaceDN w:val="0"/>
        <w:adjustRightInd w:val="0"/>
        <w:ind w:left="900"/>
        <w:jc w:val="both"/>
        <w:rPr>
          <w:sz w:val="24"/>
          <w:szCs w:val="24"/>
        </w:rPr>
      </w:pPr>
    </w:p>
    <w:tbl>
      <w:tblPr>
        <w:tblW w:w="8658"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2160"/>
      </w:tblGrid>
      <w:tr w:rsidR="0009718F" w:rsidRPr="0009718F" w14:paraId="397D5617" w14:textId="77777777" w:rsidTr="0081720D">
        <w:tc>
          <w:tcPr>
            <w:tcW w:w="6498" w:type="dxa"/>
            <w:tcBorders>
              <w:top w:val="nil"/>
              <w:left w:val="nil"/>
              <w:bottom w:val="nil"/>
              <w:right w:val="nil"/>
            </w:tcBorders>
          </w:tcPr>
          <w:p w14:paraId="469A54A7" w14:textId="77777777" w:rsidR="004C6980" w:rsidRPr="0009718F" w:rsidRDefault="004C6980" w:rsidP="004C6980">
            <w:pPr>
              <w:tabs>
                <w:tab w:val="left" w:pos="1080"/>
                <w:tab w:val="left" w:pos="1260"/>
              </w:tabs>
              <w:ind w:right="-18"/>
              <w:rPr>
                <w:b/>
                <w:sz w:val="24"/>
                <w:szCs w:val="24"/>
              </w:rPr>
            </w:pPr>
          </w:p>
          <w:p w14:paraId="29AE70CC" w14:textId="77777777" w:rsidR="004C6980" w:rsidRPr="0009718F" w:rsidRDefault="004C6980" w:rsidP="004C6980">
            <w:pPr>
              <w:tabs>
                <w:tab w:val="left" w:pos="1080"/>
                <w:tab w:val="left" w:pos="1260"/>
              </w:tabs>
              <w:ind w:right="-18"/>
              <w:rPr>
                <w:b/>
                <w:sz w:val="24"/>
                <w:szCs w:val="24"/>
              </w:rPr>
            </w:pPr>
          </w:p>
          <w:p w14:paraId="242A0BB1" w14:textId="77777777" w:rsidR="004C6980" w:rsidRPr="0009718F" w:rsidRDefault="004C6980" w:rsidP="004C6980">
            <w:pPr>
              <w:tabs>
                <w:tab w:val="left" w:pos="1080"/>
                <w:tab w:val="left" w:pos="1260"/>
              </w:tabs>
              <w:ind w:right="-18"/>
              <w:rPr>
                <w:b/>
                <w:sz w:val="24"/>
                <w:szCs w:val="24"/>
              </w:rPr>
            </w:pPr>
            <w:r w:rsidRPr="0009718F">
              <w:rPr>
                <w:b/>
                <w:sz w:val="24"/>
                <w:szCs w:val="24"/>
              </w:rPr>
              <w:t>Description</w:t>
            </w:r>
          </w:p>
        </w:tc>
        <w:tc>
          <w:tcPr>
            <w:tcW w:w="2160" w:type="dxa"/>
            <w:tcBorders>
              <w:top w:val="nil"/>
              <w:left w:val="nil"/>
              <w:bottom w:val="nil"/>
              <w:right w:val="nil"/>
            </w:tcBorders>
          </w:tcPr>
          <w:p w14:paraId="7C0F4702" w14:textId="77777777" w:rsidR="004C6980" w:rsidRPr="0009718F" w:rsidRDefault="004C6980" w:rsidP="004C6980">
            <w:pPr>
              <w:tabs>
                <w:tab w:val="left" w:pos="1080"/>
                <w:tab w:val="left" w:pos="1260"/>
              </w:tabs>
              <w:ind w:right="-122"/>
              <w:rPr>
                <w:b/>
                <w:sz w:val="24"/>
                <w:szCs w:val="24"/>
              </w:rPr>
            </w:pPr>
            <w:r w:rsidRPr="0009718F">
              <w:rPr>
                <w:b/>
                <w:sz w:val="24"/>
                <w:szCs w:val="24"/>
              </w:rPr>
              <w:t xml:space="preserve">Effective for annual </w:t>
            </w:r>
          </w:p>
          <w:p w14:paraId="71242364" w14:textId="77777777" w:rsidR="004C6980" w:rsidRPr="0009718F" w:rsidRDefault="004C6980" w:rsidP="004C6980">
            <w:pPr>
              <w:tabs>
                <w:tab w:val="left" w:pos="1080"/>
                <w:tab w:val="left" w:pos="1260"/>
              </w:tabs>
              <w:ind w:right="-122"/>
              <w:rPr>
                <w:b/>
                <w:sz w:val="24"/>
                <w:szCs w:val="24"/>
              </w:rPr>
            </w:pPr>
            <w:r w:rsidRPr="0009718F">
              <w:rPr>
                <w:b/>
                <w:sz w:val="24"/>
                <w:szCs w:val="24"/>
              </w:rPr>
              <w:t xml:space="preserve"> periods beginning </w:t>
            </w:r>
          </w:p>
          <w:p w14:paraId="126EA359" w14:textId="77777777" w:rsidR="004C6980" w:rsidRPr="0009718F" w:rsidRDefault="004C6980" w:rsidP="004C6980">
            <w:pPr>
              <w:tabs>
                <w:tab w:val="left" w:pos="1080"/>
                <w:tab w:val="left" w:pos="1260"/>
              </w:tabs>
              <w:ind w:right="-122"/>
              <w:rPr>
                <w:b/>
                <w:sz w:val="24"/>
                <w:szCs w:val="24"/>
              </w:rPr>
            </w:pPr>
            <w:r w:rsidRPr="0009718F">
              <w:rPr>
                <w:b/>
                <w:sz w:val="24"/>
                <w:szCs w:val="24"/>
              </w:rPr>
              <w:t xml:space="preserve"> on or after</w:t>
            </w:r>
          </w:p>
        </w:tc>
      </w:tr>
      <w:tr w:rsidR="0009718F" w:rsidRPr="0009718F" w14:paraId="7F0D3211"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185C7225" w14:textId="77777777" w:rsidR="004C6980" w:rsidRPr="0009718F" w:rsidRDefault="004C6980" w:rsidP="004C6980">
            <w:pPr>
              <w:spacing w:line="228" w:lineRule="auto"/>
              <w:rPr>
                <w:sz w:val="24"/>
                <w:szCs w:val="24"/>
                <w:lang w:val="en-GB"/>
              </w:rPr>
            </w:pPr>
            <w:r w:rsidRPr="0009718F">
              <w:rPr>
                <w:sz w:val="24"/>
                <w:szCs w:val="24"/>
                <w:lang w:val="en-GB"/>
              </w:rPr>
              <w:t xml:space="preserve">Amendments to FRS 1: First-time Adoption of Malaysian </w:t>
            </w:r>
          </w:p>
          <w:p w14:paraId="2D93BB5A" w14:textId="77777777" w:rsidR="004C6980" w:rsidRPr="0009718F" w:rsidRDefault="004C6980" w:rsidP="004C6980">
            <w:pPr>
              <w:spacing w:line="228" w:lineRule="auto"/>
              <w:jc w:val="both"/>
              <w:rPr>
                <w:sz w:val="24"/>
                <w:szCs w:val="24"/>
                <w:lang w:val="en-GB"/>
              </w:rPr>
            </w:pPr>
            <w:r w:rsidRPr="0009718F">
              <w:rPr>
                <w:sz w:val="24"/>
                <w:szCs w:val="24"/>
                <w:lang w:val="en-GB"/>
              </w:rPr>
              <w:t xml:space="preserve"> Financial Reporting Standards (Annual Improvements to </w:t>
            </w:r>
          </w:p>
          <w:p w14:paraId="1787313B" w14:textId="77777777" w:rsidR="004C6980" w:rsidRPr="0009718F" w:rsidRDefault="004C6980" w:rsidP="004C6980">
            <w:pPr>
              <w:spacing w:line="228" w:lineRule="auto"/>
              <w:jc w:val="both"/>
              <w:rPr>
                <w:sz w:val="24"/>
                <w:szCs w:val="24"/>
                <w:lang w:val="en-GB"/>
              </w:rPr>
            </w:pPr>
            <w:r w:rsidRPr="0009718F">
              <w:rPr>
                <w:sz w:val="24"/>
                <w:szCs w:val="24"/>
                <w:lang w:val="en-GB"/>
              </w:rPr>
              <w:t xml:space="preserve"> FRS Standards 2014 – 2016 Cycle)</w:t>
            </w:r>
          </w:p>
        </w:tc>
        <w:tc>
          <w:tcPr>
            <w:tcW w:w="2160" w:type="dxa"/>
            <w:shd w:val="clear" w:color="auto" w:fill="auto"/>
          </w:tcPr>
          <w:p w14:paraId="38786D7D" w14:textId="77777777" w:rsidR="004C6980" w:rsidRPr="0009718F" w:rsidRDefault="004C6980" w:rsidP="004C6980">
            <w:pPr>
              <w:spacing w:line="228" w:lineRule="auto"/>
              <w:jc w:val="both"/>
              <w:rPr>
                <w:sz w:val="24"/>
                <w:szCs w:val="24"/>
              </w:rPr>
            </w:pPr>
            <w:r w:rsidRPr="0009718F">
              <w:rPr>
                <w:sz w:val="24"/>
                <w:szCs w:val="24"/>
              </w:rPr>
              <w:t>1 January 2018</w:t>
            </w:r>
          </w:p>
        </w:tc>
      </w:tr>
      <w:tr w:rsidR="0009718F" w:rsidRPr="0009718F" w14:paraId="500422A8"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3846B854" w14:textId="77777777" w:rsidR="004C6980" w:rsidRPr="0009718F" w:rsidRDefault="004C6980" w:rsidP="004C6980">
            <w:pPr>
              <w:spacing w:line="228" w:lineRule="auto"/>
              <w:rPr>
                <w:sz w:val="24"/>
                <w:szCs w:val="24"/>
                <w:lang w:val="en-GB"/>
              </w:rPr>
            </w:pPr>
            <w:r w:rsidRPr="0009718F">
              <w:rPr>
                <w:sz w:val="24"/>
                <w:szCs w:val="24"/>
                <w:lang w:val="en-GB"/>
              </w:rPr>
              <w:t xml:space="preserve">Amendments to FRS 2: Classification and Measurement of </w:t>
            </w:r>
          </w:p>
          <w:p w14:paraId="0C1A35A0" w14:textId="77777777" w:rsidR="004C6980" w:rsidRPr="0009718F" w:rsidRDefault="004C6980" w:rsidP="004C6980">
            <w:pPr>
              <w:spacing w:line="228" w:lineRule="auto"/>
              <w:rPr>
                <w:sz w:val="24"/>
                <w:szCs w:val="24"/>
                <w:lang w:val="en-GB"/>
              </w:rPr>
            </w:pPr>
            <w:r w:rsidRPr="0009718F">
              <w:rPr>
                <w:sz w:val="24"/>
                <w:szCs w:val="24"/>
                <w:lang w:val="en-GB"/>
              </w:rPr>
              <w:t xml:space="preserve"> Share-based Payment Transactions</w:t>
            </w:r>
          </w:p>
        </w:tc>
        <w:tc>
          <w:tcPr>
            <w:tcW w:w="2160" w:type="dxa"/>
            <w:shd w:val="clear" w:color="auto" w:fill="auto"/>
          </w:tcPr>
          <w:p w14:paraId="6487FD0F" w14:textId="77777777" w:rsidR="004C6980" w:rsidRPr="0009718F" w:rsidRDefault="004C6980" w:rsidP="004C6980">
            <w:pPr>
              <w:spacing w:line="228" w:lineRule="auto"/>
              <w:jc w:val="both"/>
              <w:rPr>
                <w:sz w:val="24"/>
                <w:szCs w:val="24"/>
              </w:rPr>
            </w:pPr>
            <w:r w:rsidRPr="0009718F">
              <w:rPr>
                <w:sz w:val="24"/>
                <w:szCs w:val="24"/>
              </w:rPr>
              <w:t>1 January 2018</w:t>
            </w:r>
          </w:p>
        </w:tc>
      </w:tr>
      <w:tr w:rsidR="0009718F" w:rsidRPr="0009718F" w14:paraId="1E316285"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49B26AB0" w14:textId="77777777" w:rsidR="004C6980" w:rsidRPr="0009718F" w:rsidRDefault="004C6980" w:rsidP="004C6980">
            <w:pPr>
              <w:spacing w:line="228" w:lineRule="auto"/>
              <w:rPr>
                <w:sz w:val="24"/>
                <w:szCs w:val="24"/>
                <w:lang w:val="en-GB"/>
              </w:rPr>
            </w:pPr>
            <w:r w:rsidRPr="0009718F">
              <w:rPr>
                <w:sz w:val="24"/>
                <w:szCs w:val="24"/>
                <w:lang w:val="en-GB"/>
              </w:rPr>
              <w:t xml:space="preserve">Amendments to FRS 4: Applying FRS 9 Financial  </w:t>
            </w:r>
          </w:p>
          <w:p w14:paraId="5CB3ABBE" w14:textId="77777777" w:rsidR="004C6980" w:rsidRPr="0009718F" w:rsidRDefault="004C6980" w:rsidP="004C6980">
            <w:pPr>
              <w:spacing w:line="228" w:lineRule="auto"/>
              <w:rPr>
                <w:sz w:val="24"/>
                <w:szCs w:val="24"/>
                <w:lang w:val="en-GB"/>
              </w:rPr>
            </w:pPr>
            <w:r w:rsidRPr="0009718F">
              <w:rPr>
                <w:sz w:val="24"/>
                <w:szCs w:val="24"/>
                <w:lang w:val="en-GB"/>
              </w:rPr>
              <w:t xml:space="preserve"> Instruments with FRS 4 Insurance Contracts </w:t>
            </w:r>
          </w:p>
        </w:tc>
        <w:tc>
          <w:tcPr>
            <w:tcW w:w="2160" w:type="dxa"/>
            <w:shd w:val="clear" w:color="auto" w:fill="auto"/>
          </w:tcPr>
          <w:p w14:paraId="73D06EA3" w14:textId="77777777" w:rsidR="004C6980" w:rsidRPr="0009718F" w:rsidRDefault="004C6980" w:rsidP="004C6980">
            <w:pPr>
              <w:spacing w:line="228" w:lineRule="auto"/>
              <w:jc w:val="both"/>
              <w:rPr>
                <w:sz w:val="24"/>
                <w:szCs w:val="24"/>
              </w:rPr>
            </w:pPr>
            <w:r w:rsidRPr="0009718F">
              <w:rPr>
                <w:sz w:val="24"/>
                <w:szCs w:val="24"/>
              </w:rPr>
              <w:t>1 January 2018</w:t>
            </w:r>
          </w:p>
        </w:tc>
      </w:tr>
      <w:tr w:rsidR="0009718F" w:rsidRPr="0009718F" w14:paraId="75A7478D"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679D532B" w14:textId="77777777" w:rsidR="004C6980" w:rsidRPr="0009718F" w:rsidRDefault="004C6980" w:rsidP="004C6980">
            <w:pPr>
              <w:spacing w:line="228" w:lineRule="auto"/>
              <w:rPr>
                <w:sz w:val="24"/>
                <w:szCs w:val="24"/>
                <w:lang w:val="en-GB"/>
              </w:rPr>
            </w:pPr>
            <w:r w:rsidRPr="0009718F">
              <w:rPr>
                <w:sz w:val="24"/>
                <w:szCs w:val="24"/>
                <w:lang w:val="en-GB"/>
              </w:rPr>
              <w:t xml:space="preserve">Amendments to FRS 128: Investments in Associates and </w:t>
            </w:r>
          </w:p>
          <w:p w14:paraId="198C8412" w14:textId="77777777" w:rsidR="004C6980" w:rsidRPr="0009718F" w:rsidRDefault="004C6980" w:rsidP="004C6980">
            <w:pPr>
              <w:spacing w:line="228" w:lineRule="auto"/>
              <w:rPr>
                <w:sz w:val="24"/>
                <w:szCs w:val="24"/>
                <w:lang w:val="en-GB"/>
              </w:rPr>
            </w:pPr>
            <w:r w:rsidRPr="0009718F">
              <w:rPr>
                <w:sz w:val="24"/>
                <w:szCs w:val="24"/>
                <w:lang w:val="en-GB"/>
              </w:rPr>
              <w:t xml:space="preserve"> Joint Ventures (Annual Improvements to FRS Standards </w:t>
            </w:r>
          </w:p>
          <w:p w14:paraId="3EB36C26" w14:textId="77777777" w:rsidR="004C6980" w:rsidRPr="0009718F" w:rsidRDefault="004C6980" w:rsidP="004C6980">
            <w:pPr>
              <w:spacing w:line="228" w:lineRule="auto"/>
              <w:rPr>
                <w:sz w:val="24"/>
                <w:szCs w:val="24"/>
                <w:lang w:val="en-GB"/>
              </w:rPr>
            </w:pPr>
            <w:r w:rsidRPr="0009718F">
              <w:rPr>
                <w:sz w:val="24"/>
                <w:szCs w:val="24"/>
                <w:lang w:val="en-GB"/>
              </w:rPr>
              <w:t xml:space="preserve"> 2014 – 2016 Cycle)</w:t>
            </w:r>
          </w:p>
        </w:tc>
        <w:tc>
          <w:tcPr>
            <w:tcW w:w="2160" w:type="dxa"/>
            <w:shd w:val="clear" w:color="auto" w:fill="auto"/>
          </w:tcPr>
          <w:p w14:paraId="0448BDD5" w14:textId="77777777" w:rsidR="004C6980" w:rsidRPr="0009718F" w:rsidRDefault="004C6980" w:rsidP="004C6980">
            <w:pPr>
              <w:spacing w:line="228" w:lineRule="auto"/>
              <w:jc w:val="both"/>
              <w:rPr>
                <w:sz w:val="24"/>
                <w:szCs w:val="24"/>
              </w:rPr>
            </w:pPr>
            <w:r w:rsidRPr="0009718F">
              <w:rPr>
                <w:sz w:val="24"/>
                <w:szCs w:val="24"/>
              </w:rPr>
              <w:t>1 January 2018</w:t>
            </w:r>
          </w:p>
        </w:tc>
      </w:tr>
      <w:tr w:rsidR="0009718F" w:rsidRPr="0009718F" w14:paraId="2EB88BCC"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2D70EEC0" w14:textId="77777777" w:rsidR="004C6980" w:rsidRPr="0009718F" w:rsidRDefault="004C6980" w:rsidP="004C6980">
            <w:pPr>
              <w:spacing w:line="228" w:lineRule="auto"/>
              <w:rPr>
                <w:sz w:val="24"/>
                <w:szCs w:val="24"/>
                <w:lang w:val="en-GB"/>
              </w:rPr>
            </w:pPr>
            <w:r w:rsidRPr="0009718F">
              <w:rPr>
                <w:sz w:val="24"/>
                <w:szCs w:val="24"/>
                <w:lang w:val="en-GB"/>
              </w:rPr>
              <w:t xml:space="preserve">Amendments to FRS 140: Transfers of Investment </w:t>
            </w:r>
          </w:p>
          <w:p w14:paraId="6083FF69" w14:textId="77777777" w:rsidR="004C6980" w:rsidRPr="0009718F" w:rsidRDefault="004C6980" w:rsidP="004C6980">
            <w:pPr>
              <w:spacing w:line="228" w:lineRule="auto"/>
              <w:rPr>
                <w:sz w:val="24"/>
                <w:szCs w:val="24"/>
                <w:lang w:val="en-GB"/>
              </w:rPr>
            </w:pPr>
            <w:r w:rsidRPr="0009718F">
              <w:rPr>
                <w:sz w:val="24"/>
                <w:szCs w:val="24"/>
                <w:lang w:val="en-GB"/>
              </w:rPr>
              <w:t xml:space="preserve"> Property </w:t>
            </w:r>
          </w:p>
        </w:tc>
        <w:tc>
          <w:tcPr>
            <w:tcW w:w="2160" w:type="dxa"/>
            <w:shd w:val="clear" w:color="auto" w:fill="auto"/>
          </w:tcPr>
          <w:p w14:paraId="42EA39CF" w14:textId="77777777" w:rsidR="004C6980" w:rsidRPr="0009718F" w:rsidRDefault="004C6980" w:rsidP="004C6980">
            <w:pPr>
              <w:spacing w:line="228" w:lineRule="auto"/>
              <w:jc w:val="both"/>
              <w:rPr>
                <w:sz w:val="24"/>
                <w:szCs w:val="24"/>
              </w:rPr>
            </w:pPr>
            <w:r w:rsidRPr="0009718F">
              <w:rPr>
                <w:sz w:val="24"/>
                <w:szCs w:val="24"/>
              </w:rPr>
              <w:t>1 January 2018</w:t>
            </w:r>
          </w:p>
        </w:tc>
      </w:tr>
      <w:tr w:rsidR="0009718F" w:rsidRPr="0009718F" w14:paraId="25BB8625"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78D7E387" w14:textId="77777777" w:rsidR="004C6980" w:rsidRPr="0009718F" w:rsidRDefault="004C6980" w:rsidP="004C6980">
            <w:pPr>
              <w:spacing w:line="228" w:lineRule="auto"/>
              <w:rPr>
                <w:sz w:val="24"/>
                <w:szCs w:val="24"/>
                <w:lang w:val="en-GB"/>
              </w:rPr>
            </w:pPr>
            <w:r w:rsidRPr="0009718F">
              <w:rPr>
                <w:sz w:val="24"/>
                <w:szCs w:val="24"/>
                <w:lang w:val="en-GB"/>
              </w:rPr>
              <w:t xml:space="preserve">IC Interpretation 22: Foreign Currency Transactions and </w:t>
            </w:r>
          </w:p>
          <w:p w14:paraId="0D40AAC2" w14:textId="77777777" w:rsidR="004C6980" w:rsidRPr="0009718F" w:rsidRDefault="004C6980" w:rsidP="004C6980">
            <w:pPr>
              <w:spacing w:line="228" w:lineRule="auto"/>
              <w:rPr>
                <w:sz w:val="24"/>
                <w:szCs w:val="24"/>
                <w:lang w:val="en-GB"/>
              </w:rPr>
            </w:pPr>
            <w:r w:rsidRPr="0009718F">
              <w:rPr>
                <w:sz w:val="24"/>
                <w:szCs w:val="24"/>
                <w:lang w:val="en-GB"/>
              </w:rPr>
              <w:t xml:space="preserve"> Advance Consideration</w:t>
            </w:r>
          </w:p>
        </w:tc>
        <w:tc>
          <w:tcPr>
            <w:tcW w:w="2160" w:type="dxa"/>
            <w:shd w:val="clear" w:color="auto" w:fill="auto"/>
          </w:tcPr>
          <w:p w14:paraId="04E37992" w14:textId="77777777" w:rsidR="004C6980" w:rsidRPr="0009718F" w:rsidRDefault="004C6980" w:rsidP="004C6980">
            <w:pPr>
              <w:spacing w:line="228" w:lineRule="auto"/>
              <w:jc w:val="both"/>
              <w:rPr>
                <w:sz w:val="24"/>
                <w:szCs w:val="24"/>
              </w:rPr>
            </w:pPr>
            <w:r w:rsidRPr="0009718F">
              <w:rPr>
                <w:sz w:val="24"/>
                <w:szCs w:val="24"/>
              </w:rPr>
              <w:t>1 January 2018</w:t>
            </w:r>
          </w:p>
        </w:tc>
      </w:tr>
      <w:tr w:rsidR="0009718F" w:rsidRPr="0009718F" w14:paraId="09A7F20F"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26160472" w14:textId="77777777" w:rsidR="004C6980" w:rsidRPr="0009718F" w:rsidRDefault="004C6980" w:rsidP="004C6980">
            <w:pPr>
              <w:spacing w:line="228" w:lineRule="auto"/>
              <w:rPr>
                <w:sz w:val="24"/>
                <w:szCs w:val="24"/>
                <w:lang w:val="en-GB"/>
              </w:rPr>
            </w:pPr>
            <w:r w:rsidRPr="0009718F">
              <w:rPr>
                <w:sz w:val="24"/>
                <w:szCs w:val="24"/>
                <w:lang w:val="en-GB"/>
              </w:rPr>
              <w:t>FRS 9: Financial Instruments</w:t>
            </w:r>
          </w:p>
        </w:tc>
        <w:tc>
          <w:tcPr>
            <w:tcW w:w="2160" w:type="dxa"/>
            <w:shd w:val="clear" w:color="auto" w:fill="auto"/>
          </w:tcPr>
          <w:p w14:paraId="35B55C70" w14:textId="77777777" w:rsidR="004C6980" w:rsidRPr="0009718F" w:rsidRDefault="004C6980" w:rsidP="004C6980">
            <w:pPr>
              <w:spacing w:line="228" w:lineRule="auto"/>
              <w:jc w:val="both"/>
              <w:rPr>
                <w:sz w:val="24"/>
                <w:szCs w:val="24"/>
              </w:rPr>
            </w:pPr>
            <w:r w:rsidRPr="0009718F">
              <w:rPr>
                <w:sz w:val="24"/>
                <w:szCs w:val="24"/>
              </w:rPr>
              <w:t>1 January 2018</w:t>
            </w:r>
          </w:p>
        </w:tc>
      </w:tr>
      <w:tr w:rsidR="0009718F" w:rsidRPr="0009718F" w14:paraId="67933B89"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0AFDD3DD" w14:textId="77777777" w:rsidR="004C6980" w:rsidRPr="0009718F" w:rsidRDefault="004C6980" w:rsidP="004C6980">
            <w:pPr>
              <w:spacing w:line="228" w:lineRule="auto"/>
              <w:rPr>
                <w:sz w:val="24"/>
                <w:szCs w:val="24"/>
                <w:lang w:val="en-GB"/>
              </w:rPr>
            </w:pPr>
            <w:r w:rsidRPr="0009718F">
              <w:rPr>
                <w:sz w:val="24"/>
                <w:szCs w:val="24"/>
                <w:lang w:val="en-GB"/>
              </w:rPr>
              <w:t xml:space="preserve">Amendments to FRS 10 and FRS 128: Sale or </w:t>
            </w:r>
          </w:p>
          <w:p w14:paraId="46B5716B" w14:textId="77777777" w:rsidR="004C6980" w:rsidRPr="0009718F" w:rsidRDefault="004C6980" w:rsidP="004C6980">
            <w:pPr>
              <w:spacing w:line="228" w:lineRule="auto"/>
              <w:rPr>
                <w:sz w:val="24"/>
                <w:szCs w:val="24"/>
                <w:lang w:val="en-GB"/>
              </w:rPr>
            </w:pPr>
            <w:r w:rsidRPr="0009718F">
              <w:rPr>
                <w:sz w:val="24"/>
                <w:szCs w:val="24"/>
                <w:lang w:val="en-GB"/>
              </w:rPr>
              <w:t xml:space="preserve"> Contribution of Assets between an Investor and its </w:t>
            </w:r>
          </w:p>
          <w:p w14:paraId="39CCEF30" w14:textId="77777777" w:rsidR="004C6980" w:rsidRPr="0009718F" w:rsidRDefault="004C6980" w:rsidP="004C6980">
            <w:pPr>
              <w:spacing w:line="228" w:lineRule="auto"/>
              <w:rPr>
                <w:sz w:val="24"/>
                <w:szCs w:val="24"/>
                <w:lang w:val="en-GB"/>
              </w:rPr>
            </w:pPr>
            <w:r w:rsidRPr="0009718F">
              <w:rPr>
                <w:sz w:val="24"/>
                <w:szCs w:val="24"/>
                <w:lang w:val="en-GB"/>
              </w:rPr>
              <w:t xml:space="preserve"> Associate or Joint Venture</w:t>
            </w:r>
          </w:p>
        </w:tc>
        <w:tc>
          <w:tcPr>
            <w:tcW w:w="2160" w:type="dxa"/>
            <w:shd w:val="clear" w:color="auto" w:fill="auto"/>
          </w:tcPr>
          <w:p w14:paraId="0600CBB3" w14:textId="77777777" w:rsidR="004C6980" w:rsidRPr="0009718F" w:rsidRDefault="004C6980" w:rsidP="004C6980">
            <w:pPr>
              <w:spacing w:line="228" w:lineRule="auto"/>
              <w:jc w:val="both"/>
              <w:rPr>
                <w:sz w:val="24"/>
                <w:szCs w:val="24"/>
              </w:rPr>
            </w:pPr>
            <w:r w:rsidRPr="0009718F">
              <w:rPr>
                <w:sz w:val="24"/>
                <w:szCs w:val="24"/>
              </w:rPr>
              <w:t>Deferred</w:t>
            </w:r>
          </w:p>
        </w:tc>
      </w:tr>
      <w:tr w:rsidR="0009718F" w:rsidRPr="0009718F" w14:paraId="0907B428" w14:textId="77777777" w:rsidTr="00817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4"/>
        </w:trPr>
        <w:tc>
          <w:tcPr>
            <w:tcW w:w="6498" w:type="dxa"/>
            <w:shd w:val="clear" w:color="auto" w:fill="auto"/>
          </w:tcPr>
          <w:p w14:paraId="165FE8BD" w14:textId="77777777" w:rsidR="004C6980" w:rsidRPr="0009718F" w:rsidRDefault="004C6980" w:rsidP="004C6980">
            <w:pPr>
              <w:spacing w:line="228" w:lineRule="auto"/>
              <w:jc w:val="both"/>
              <w:rPr>
                <w:sz w:val="24"/>
                <w:szCs w:val="24"/>
                <w:lang w:val="en-GB"/>
              </w:rPr>
            </w:pPr>
          </w:p>
        </w:tc>
        <w:tc>
          <w:tcPr>
            <w:tcW w:w="2160" w:type="dxa"/>
            <w:shd w:val="clear" w:color="auto" w:fill="auto"/>
          </w:tcPr>
          <w:p w14:paraId="787058B3" w14:textId="77777777" w:rsidR="004C6980" w:rsidRPr="0009718F" w:rsidRDefault="004C6980" w:rsidP="004C6980">
            <w:pPr>
              <w:spacing w:line="228" w:lineRule="auto"/>
              <w:jc w:val="both"/>
              <w:rPr>
                <w:sz w:val="24"/>
                <w:szCs w:val="24"/>
              </w:rPr>
            </w:pPr>
          </w:p>
        </w:tc>
      </w:tr>
    </w:tbl>
    <w:p w14:paraId="43921982" w14:textId="77777777" w:rsidR="00AC6DBE" w:rsidRPr="0009718F" w:rsidRDefault="00AC6DBE" w:rsidP="00AC6DBE">
      <w:pPr>
        <w:ind w:left="720"/>
        <w:jc w:val="both"/>
        <w:rPr>
          <w:sz w:val="24"/>
          <w:szCs w:val="24"/>
        </w:rPr>
      </w:pPr>
      <w:r w:rsidRPr="0009718F">
        <w:rPr>
          <w:sz w:val="24"/>
          <w:szCs w:val="24"/>
        </w:rPr>
        <w:t>The directors expect that the adoption of the above standards and interpretations will have no material impact on the interim financial statements in the period of initial application except as discussed below:</w:t>
      </w:r>
    </w:p>
    <w:p w14:paraId="322A3B1C" w14:textId="77777777" w:rsidR="00AC6DBE" w:rsidRPr="0009718F" w:rsidRDefault="00AC6DBE" w:rsidP="00AC6DBE">
      <w:pPr>
        <w:ind w:left="709" w:right="-331"/>
        <w:jc w:val="both"/>
        <w:rPr>
          <w:b/>
          <w:sz w:val="24"/>
          <w:szCs w:val="24"/>
        </w:rPr>
      </w:pPr>
    </w:p>
    <w:p w14:paraId="1E60D171" w14:textId="192A5DCB" w:rsidR="00AC6DBE" w:rsidRPr="0009718F" w:rsidRDefault="00AC6DBE" w:rsidP="00AC6DBE">
      <w:pPr>
        <w:ind w:left="709" w:right="-331"/>
        <w:jc w:val="both"/>
        <w:rPr>
          <w:b/>
          <w:sz w:val="24"/>
          <w:szCs w:val="24"/>
        </w:rPr>
      </w:pPr>
      <w:r w:rsidRPr="0009718F">
        <w:rPr>
          <w:b/>
          <w:sz w:val="24"/>
          <w:szCs w:val="24"/>
        </w:rPr>
        <w:t xml:space="preserve">FRS 9: Financial Instruments </w:t>
      </w:r>
    </w:p>
    <w:p w14:paraId="034FA7CF" w14:textId="77777777" w:rsidR="00AC6DBE" w:rsidRPr="0009718F" w:rsidRDefault="00AC6DBE" w:rsidP="00AC6DBE">
      <w:pPr>
        <w:ind w:left="709" w:right="-331"/>
        <w:jc w:val="both"/>
        <w:rPr>
          <w:sz w:val="24"/>
          <w:szCs w:val="24"/>
        </w:rPr>
      </w:pPr>
    </w:p>
    <w:p w14:paraId="21E555D1" w14:textId="77777777" w:rsidR="00AC6DBE" w:rsidRPr="0009718F" w:rsidRDefault="00AC6DBE" w:rsidP="00AC6DBE">
      <w:pPr>
        <w:ind w:left="709" w:right="-331"/>
        <w:jc w:val="both"/>
        <w:rPr>
          <w:sz w:val="24"/>
          <w:szCs w:val="24"/>
        </w:rPr>
      </w:pPr>
      <w:r w:rsidRPr="0009718F">
        <w:rPr>
          <w:sz w:val="24"/>
          <w:szCs w:val="24"/>
        </w:rPr>
        <w:t>In November 2014, MASB issued the final version of FRS 9: Financial Instruments which reflects all phases of the financial instruments project and replaces FRS 139: Financial Instruments: Recognition and Measurement and all previous versions of FRS 9. The standard introduces new requirements for classification and measurement, impairment and hedge accounting. FRS 9 is effective for annual periods beginning on or after 1 January 2018, with early application permitted. Retrospective application is required, but comparative information is not compulsory. The adoption of FRS 9 is not expected to have any impact on the classification and measurement of the Group’s financial assets and financial liabilities.</w:t>
      </w:r>
    </w:p>
    <w:p w14:paraId="7619ED72" w14:textId="77777777" w:rsidR="00AC6DBE" w:rsidRPr="0009718F" w:rsidRDefault="00AC6DBE" w:rsidP="00AC6DBE">
      <w:pPr>
        <w:ind w:left="709" w:right="-331"/>
        <w:jc w:val="both"/>
        <w:rPr>
          <w:sz w:val="24"/>
          <w:szCs w:val="24"/>
        </w:rPr>
      </w:pPr>
    </w:p>
    <w:p w14:paraId="5BB719EF" w14:textId="77777777" w:rsidR="00AC6DBE" w:rsidRPr="0009718F" w:rsidRDefault="00AC6DBE" w:rsidP="00AC6DBE">
      <w:pPr>
        <w:ind w:left="709" w:right="-331"/>
        <w:jc w:val="both"/>
        <w:rPr>
          <w:b/>
          <w:sz w:val="24"/>
          <w:szCs w:val="24"/>
        </w:rPr>
      </w:pPr>
      <w:r w:rsidRPr="0009718F">
        <w:rPr>
          <w:b/>
          <w:sz w:val="24"/>
          <w:szCs w:val="24"/>
        </w:rPr>
        <w:t xml:space="preserve">Malaysian Financial Reporting Standards (“MFRS Framework”) </w:t>
      </w:r>
    </w:p>
    <w:p w14:paraId="1A6AD8D7" w14:textId="77777777" w:rsidR="00AC6DBE" w:rsidRPr="0009718F" w:rsidRDefault="00AC6DBE" w:rsidP="00AC6DBE">
      <w:pPr>
        <w:ind w:left="709" w:right="-331"/>
        <w:jc w:val="both"/>
        <w:rPr>
          <w:sz w:val="24"/>
          <w:szCs w:val="24"/>
        </w:rPr>
      </w:pPr>
    </w:p>
    <w:p w14:paraId="100D82FB" w14:textId="77777777" w:rsidR="00AC6DBE" w:rsidRPr="0009718F" w:rsidRDefault="00AC6DBE" w:rsidP="00AC6DBE">
      <w:pPr>
        <w:ind w:left="709" w:right="-331"/>
        <w:jc w:val="both"/>
        <w:rPr>
          <w:sz w:val="24"/>
          <w:szCs w:val="24"/>
        </w:rPr>
      </w:pPr>
      <w:r w:rsidRPr="0009718F">
        <w:rPr>
          <w:sz w:val="24"/>
          <w:szCs w:val="24"/>
        </w:rPr>
        <w:t>On 19 November 2011, the Malaysian Accounting Standards Board (MASB) issued a new MASB approved accounting framework, the Malaysian Financial Reporting Standards (“MFRS Framework”).</w:t>
      </w:r>
    </w:p>
    <w:p w14:paraId="7166869C" w14:textId="77777777" w:rsidR="00AC6DBE" w:rsidRPr="0009718F" w:rsidRDefault="00AC6DBE" w:rsidP="00AC6DBE">
      <w:pPr>
        <w:ind w:left="709" w:right="-331"/>
        <w:jc w:val="both"/>
        <w:rPr>
          <w:sz w:val="24"/>
          <w:szCs w:val="24"/>
        </w:rPr>
      </w:pPr>
    </w:p>
    <w:p w14:paraId="05470E0E" w14:textId="77777777" w:rsidR="00AC6DBE" w:rsidRPr="0009718F" w:rsidRDefault="00AC6DBE" w:rsidP="00AC6DBE">
      <w:pPr>
        <w:ind w:left="709" w:right="-331"/>
        <w:jc w:val="both"/>
        <w:rPr>
          <w:sz w:val="24"/>
          <w:szCs w:val="24"/>
        </w:rPr>
      </w:pPr>
      <w:r w:rsidRPr="0009718F">
        <w:rPr>
          <w:sz w:val="24"/>
          <w:szCs w:val="24"/>
        </w:rPr>
        <w:t>The MFRS Framework is to be applied by all entities other than private entities for annual periods beginning on or after 1 January 2012, with the exception of entities that are within the scope of MFRS 141 Agriculture (“MFRS 141”) and IC Interpretation 15 Agreements for Construction of Real Estate (“IC 15”), including their parent, significant investor and venturer (herein called “Transitioning Entities”).</w:t>
      </w:r>
    </w:p>
    <w:p w14:paraId="11F2DA79" w14:textId="77777777" w:rsidR="00AC6DBE" w:rsidRPr="0009718F" w:rsidRDefault="00AC6DBE" w:rsidP="00AC6DBE">
      <w:pPr>
        <w:ind w:left="709" w:right="-331"/>
        <w:jc w:val="both"/>
        <w:rPr>
          <w:sz w:val="24"/>
          <w:szCs w:val="24"/>
        </w:rPr>
      </w:pPr>
    </w:p>
    <w:p w14:paraId="2CB40DF4" w14:textId="77777777" w:rsidR="00AC6DBE" w:rsidRPr="0009718F" w:rsidRDefault="00AC6DBE" w:rsidP="00AC6DBE">
      <w:pPr>
        <w:ind w:left="709" w:right="-331"/>
        <w:jc w:val="both"/>
        <w:rPr>
          <w:sz w:val="24"/>
          <w:szCs w:val="24"/>
        </w:rPr>
      </w:pPr>
      <w:r w:rsidRPr="0009718F">
        <w:rPr>
          <w:sz w:val="24"/>
          <w:szCs w:val="24"/>
        </w:rPr>
        <w:t>Transitioning Entities are allowed to defer adoption of the new MFRS Framework and continue to use the existing Financial Reporting Standards framework until the MFRS Framework is mandated by the MASB.  According to an announcement made by the MASB on 28 October 2015, all Transitioning Entities shall adopt the MFRS Framework and prepare their first MFRS financial statements for annual periods beginning on or after 1 January 2018.</w:t>
      </w:r>
    </w:p>
    <w:p w14:paraId="128813BF" w14:textId="77777777" w:rsidR="00AC6DBE" w:rsidRPr="0009718F" w:rsidRDefault="00AC6DBE" w:rsidP="00AC6DBE">
      <w:pPr>
        <w:ind w:left="709" w:right="-331"/>
        <w:jc w:val="both"/>
        <w:rPr>
          <w:sz w:val="24"/>
          <w:szCs w:val="24"/>
        </w:rPr>
      </w:pPr>
    </w:p>
    <w:p w14:paraId="096A5284" w14:textId="77777777" w:rsidR="00AC6DBE" w:rsidRPr="0009718F" w:rsidRDefault="00AC6DBE" w:rsidP="00AC6DBE">
      <w:pPr>
        <w:ind w:left="709" w:right="-331"/>
        <w:jc w:val="both"/>
        <w:rPr>
          <w:sz w:val="24"/>
          <w:szCs w:val="24"/>
        </w:rPr>
      </w:pPr>
      <w:r w:rsidRPr="0009718F">
        <w:rPr>
          <w:sz w:val="24"/>
          <w:szCs w:val="24"/>
        </w:rPr>
        <w:t xml:space="preserve">The Group and the Company fall within the definition of Transitioning Entities and accordingly, will be required to prepare financial statements using the MFRS Framework in their first MFRS financial statements for the year ending 31 December 2018. In presenting their first MFRS financial statements, the Group and the Company will be required to restate the comparative financial statements to amounts reflecting the application of MFRS Framework. The majority of the adjustments required on transition will be made, retrospectively, against opening retained earnings. </w:t>
      </w:r>
    </w:p>
    <w:p w14:paraId="4EEC5A68" w14:textId="77777777" w:rsidR="00AC6DBE" w:rsidRPr="0009718F" w:rsidRDefault="00AC6DBE" w:rsidP="00AC6DBE">
      <w:pPr>
        <w:ind w:left="709" w:right="-331"/>
        <w:jc w:val="both"/>
        <w:rPr>
          <w:sz w:val="24"/>
          <w:szCs w:val="24"/>
        </w:rPr>
      </w:pPr>
    </w:p>
    <w:p w14:paraId="5C553A6C" w14:textId="77777777" w:rsidR="00AC6DBE" w:rsidRPr="0009718F" w:rsidRDefault="00AC6DBE" w:rsidP="00AC6DBE">
      <w:pPr>
        <w:ind w:left="709" w:right="-331"/>
        <w:jc w:val="both"/>
        <w:rPr>
          <w:sz w:val="24"/>
          <w:szCs w:val="24"/>
        </w:rPr>
      </w:pPr>
      <w:r w:rsidRPr="0009718F">
        <w:rPr>
          <w:sz w:val="24"/>
          <w:szCs w:val="24"/>
        </w:rPr>
        <w:t xml:space="preserve">At the date of these financial statements, the Group and the Company have not completed their quantification of the financial effects of the differences between Financial Reporting Standards and accounting standards under the MFRS Framework due to the ongoing assessment by the project team.  Accordingly, the financial performance and financial position as disclosed in these financial statements for the year ended 31 December 2016 could be different if prepared under the MFRS Framework. </w:t>
      </w:r>
    </w:p>
    <w:p w14:paraId="4CAF17A0" w14:textId="77777777" w:rsidR="00AC6DBE" w:rsidRPr="0009718F" w:rsidRDefault="00AC6DBE" w:rsidP="00AC6DBE">
      <w:pPr>
        <w:ind w:left="709" w:right="-331"/>
        <w:jc w:val="both"/>
        <w:rPr>
          <w:sz w:val="24"/>
          <w:szCs w:val="24"/>
        </w:rPr>
      </w:pPr>
    </w:p>
    <w:p w14:paraId="3EF2D65B" w14:textId="2AC85412" w:rsidR="00204816" w:rsidRPr="0009718F" w:rsidRDefault="00AC6DBE" w:rsidP="00AC6DBE">
      <w:pPr>
        <w:autoSpaceDE w:val="0"/>
        <w:autoSpaceDN w:val="0"/>
        <w:adjustRightInd w:val="0"/>
        <w:ind w:left="709"/>
        <w:jc w:val="both"/>
        <w:rPr>
          <w:sz w:val="24"/>
          <w:szCs w:val="24"/>
        </w:rPr>
      </w:pPr>
      <w:r w:rsidRPr="0009718F">
        <w:rPr>
          <w:sz w:val="24"/>
          <w:szCs w:val="24"/>
        </w:rPr>
        <w:t>The Group and the Company expect to be in a position to fully comply with the requirements of the MFRS Framework for the financial year ending 31 December 2018.</w:t>
      </w:r>
    </w:p>
    <w:p w14:paraId="4D4594ED" w14:textId="70592C58" w:rsidR="006D3094" w:rsidRPr="0009718F" w:rsidRDefault="006D3094" w:rsidP="00D91433">
      <w:pPr>
        <w:jc w:val="both"/>
        <w:rPr>
          <w:b/>
          <w:sz w:val="24"/>
          <w:szCs w:val="24"/>
        </w:rPr>
      </w:pPr>
    </w:p>
    <w:p w14:paraId="20759A5A" w14:textId="77777777" w:rsidR="00937FDC" w:rsidRPr="0009718F" w:rsidRDefault="00CF7A2C" w:rsidP="00CF7A2C">
      <w:pPr>
        <w:pStyle w:val="ListParagraph"/>
        <w:ind w:left="0" w:right="-288"/>
        <w:jc w:val="both"/>
        <w:rPr>
          <w:sz w:val="24"/>
          <w:szCs w:val="24"/>
        </w:rPr>
      </w:pPr>
      <w:r w:rsidRPr="0009718F">
        <w:rPr>
          <w:sz w:val="24"/>
          <w:szCs w:val="24"/>
        </w:rPr>
        <w:t xml:space="preserve">  </w:t>
      </w:r>
      <w:r w:rsidR="00D96E9C" w:rsidRPr="0009718F">
        <w:rPr>
          <w:sz w:val="24"/>
          <w:szCs w:val="24"/>
        </w:rPr>
        <w:t xml:space="preserve">3.   </w:t>
      </w:r>
      <w:r w:rsidR="00937FDC" w:rsidRPr="0009718F">
        <w:rPr>
          <w:sz w:val="24"/>
          <w:szCs w:val="24"/>
        </w:rPr>
        <w:t>AUDIT REPORT</w:t>
      </w:r>
    </w:p>
    <w:p w14:paraId="5AAF3295" w14:textId="77777777" w:rsidR="00937FDC" w:rsidRPr="0009718F" w:rsidRDefault="00937FDC" w:rsidP="00937FDC">
      <w:pPr>
        <w:ind w:left="360"/>
        <w:jc w:val="both"/>
      </w:pPr>
    </w:p>
    <w:p w14:paraId="0E3452D7" w14:textId="2091FFE2" w:rsidR="00937FDC" w:rsidRPr="0009718F" w:rsidRDefault="00937FDC" w:rsidP="00CF7A2C">
      <w:pPr>
        <w:ind w:left="480" w:right="-288"/>
        <w:jc w:val="both"/>
        <w:rPr>
          <w:sz w:val="24"/>
          <w:szCs w:val="24"/>
        </w:rPr>
      </w:pPr>
      <w:r w:rsidRPr="0009718F">
        <w:rPr>
          <w:sz w:val="24"/>
          <w:szCs w:val="24"/>
        </w:rPr>
        <w:t>The audit report of the Group’s annual financial statements for the year ended 31</w:t>
      </w:r>
      <w:r w:rsidR="009142C0" w:rsidRPr="0009718F">
        <w:rPr>
          <w:sz w:val="24"/>
          <w:szCs w:val="24"/>
        </w:rPr>
        <w:t>st</w:t>
      </w:r>
      <w:r w:rsidRPr="0009718F">
        <w:rPr>
          <w:sz w:val="24"/>
          <w:szCs w:val="24"/>
        </w:rPr>
        <w:t xml:space="preserve"> </w:t>
      </w:r>
      <w:r w:rsidR="00CF7A2C" w:rsidRPr="0009718F">
        <w:rPr>
          <w:sz w:val="24"/>
          <w:szCs w:val="24"/>
        </w:rPr>
        <w:t xml:space="preserve">   </w:t>
      </w:r>
      <w:r w:rsidRPr="0009718F">
        <w:rPr>
          <w:sz w:val="24"/>
          <w:szCs w:val="24"/>
        </w:rPr>
        <w:t xml:space="preserve">December </w:t>
      </w:r>
      <w:r w:rsidR="007F676F" w:rsidRPr="0009718F">
        <w:rPr>
          <w:sz w:val="24"/>
          <w:szCs w:val="24"/>
        </w:rPr>
        <w:t xml:space="preserve">2016 </w:t>
      </w:r>
      <w:r w:rsidRPr="0009718F">
        <w:rPr>
          <w:sz w:val="24"/>
          <w:szCs w:val="24"/>
        </w:rPr>
        <w:t>was not subject to any qualification.</w:t>
      </w:r>
    </w:p>
    <w:p w14:paraId="085AAFAA" w14:textId="77777777" w:rsidR="00820363" w:rsidRPr="0009718F" w:rsidRDefault="00820363" w:rsidP="00937FDC">
      <w:pPr>
        <w:ind w:left="360" w:right="-288"/>
        <w:jc w:val="both"/>
        <w:rPr>
          <w:sz w:val="24"/>
          <w:szCs w:val="24"/>
        </w:rPr>
      </w:pPr>
    </w:p>
    <w:p w14:paraId="1A11D105" w14:textId="77777777" w:rsidR="00820363" w:rsidRPr="0009718F" w:rsidRDefault="008E49EC" w:rsidP="00D96E9C">
      <w:pPr>
        <w:pStyle w:val="ListParagraph"/>
        <w:numPr>
          <w:ilvl w:val="0"/>
          <w:numId w:val="5"/>
        </w:numPr>
        <w:jc w:val="both"/>
        <w:rPr>
          <w:sz w:val="24"/>
          <w:szCs w:val="24"/>
        </w:rPr>
      </w:pPr>
      <w:r w:rsidRPr="0009718F">
        <w:rPr>
          <w:sz w:val="24"/>
          <w:szCs w:val="24"/>
        </w:rPr>
        <w:t xml:space="preserve">  </w:t>
      </w:r>
      <w:r w:rsidR="00820363" w:rsidRPr="0009718F">
        <w:rPr>
          <w:sz w:val="24"/>
          <w:szCs w:val="24"/>
        </w:rPr>
        <w:t>SEASONAL OR CYCLICAL FACTORS OF INTERIM OPERATIONS</w:t>
      </w:r>
    </w:p>
    <w:p w14:paraId="388C7280" w14:textId="77777777" w:rsidR="00820363" w:rsidRPr="0009718F" w:rsidRDefault="00820363" w:rsidP="00820363">
      <w:pPr>
        <w:jc w:val="both"/>
        <w:rPr>
          <w:sz w:val="12"/>
          <w:szCs w:val="12"/>
        </w:rPr>
      </w:pPr>
    </w:p>
    <w:p w14:paraId="7F116F7D" w14:textId="6D6E69DF" w:rsidR="00820363" w:rsidRPr="0009718F" w:rsidRDefault="00820363" w:rsidP="00CF7A2C">
      <w:pPr>
        <w:ind w:left="480" w:right="-288"/>
        <w:jc w:val="both"/>
        <w:rPr>
          <w:sz w:val="24"/>
          <w:szCs w:val="24"/>
        </w:rPr>
      </w:pPr>
      <w:r w:rsidRPr="00A64AD7">
        <w:rPr>
          <w:sz w:val="24"/>
          <w:szCs w:val="24"/>
        </w:rPr>
        <w:t>The Group’s business operations for the period ended 3</w:t>
      </w:r>
      <w:r w:rsidR="00D071D5" w:rsidRPr="00A64AD7">
        <w:rPr>
          <w:sz w:val="24"/>
          <w:szCs w:val="24"/>
        </w:rPr>
        <w:t>0th</w:t>
      </w:r>
      <w:r w:rsidRPr="00A64AD7">
        <w:rPr>
          <w:sz w:val="24"/>
          <w:szCs w:val="24"/>
        </w:rPr>
        <w:t xml:space="preserve"> </w:t>
      </w:r>
      <w:r w:rsidR="001D7CF9" w:rsidRPr="00A64AD7">
        <w:rPr>
          <w:sz w:val="24"/>
          <w:szCs w:val="24"/>
        </w:rPr>
        <w:t>September</w:t>
      </w:r>
      <w:r w:rsidR="007F676F" w:rsidRPr="00A64AD7">
        <w:rPr>
          <w:sz w:val="24"/>
          <w:szCs w:val="24"/>
        </w:rPr>
        <w:t xml:space="preserve"> 2017</w:t>
      </w:r>
      <w:r w:rsidRPr="00A64AD7">
        <w:rPr>
          <w:sz w:val="24"/>
          <w:szCs w:val="24"/>
        </w:rPr>
        <w:t xml:space="preserve"> have not been materially affected b</w:t>
      </w:r>
      <w:r w:rsidR="0095206C" w:rsidRPr="00A64AD7">
        <w:rPr>
          <w:sz w:val="24"/>
          <w:szCs w:val="24"/>
        </w:rPr>
        <w:t>y sea</w:t>
      </w:r>
      <w:r w:rsidR="00CF7A2C" w:rsidRPr="00A64AD7">
        <w:rPr>
          <w:sz w:val="24"/>
          <w:szCs w:val="24"/>
        </w:rPr>
        <w:t>sonal or cyclical factors, other than the slowdown in property sales</w:t>
      </w:r>
      <w:r w:rsidR="009C327E" w:rsidRPr="00A64AD7">
        <w:rPr>
          <w:sz w:val="24"/>
          <w:szCs w:val="24"/>
        </w:rPr>
        <w:t xml:space="preserve">. Also, </w:t>
      </w:r>
      <w:r w:rsidR="00002F41" w:rsidRPr="00A64AD7">
        <w:rPr>
          <w:sz w:val="24"/>
          <w:szCs w:val="24"/>
        </w:rPr>
        <w:t xml:space="preserve">the car brands we distribute had a lower market share in </w:t>
      </w:r>
      <w:r w:rsidR="009C327E" w:rsidRPr="00A64AD7">
        <w:rPr>
          <w:sz w:val="24"/>
          <w:szCs w:val="24"/>
        </w:rPr>
        <w:t>the</w:t>
      </w:r>
      <w:r w:rsidR="00002F41" w:rsidRPr="00A64AD7">
        <w:rPr>
          <w:sz w:val="24"/>
          <w:szCs w:val="24"/>
        </w:rPr>
        <w:t xml:space="preserve"> Total Industry Volume (TIV) compared to last year.</w:t>
      </w:r>
    </w:p>
    <w:p w14:paraId="5AEF0A31" w14:textId="77777777" w:rsidR="00B62782" w:rsidRPr="0009718F" w:rsidRDefault="00B62782" w:rsidP="00820363">
      <w:pPr>
        <w:ind w:left="360" w:right="-288"/>
        <w:jc w:val="both"/>
        <w:rPr>
          <w:sz w:val="24"/>
          <w:szCs w:val="24"/>
        </w:rPr>
      </w:pPr>
    </w:p>
    <w:p w14:paraId="1F66D657" w14:textId="77777777" w:rsidR="00820363" w:rsidRPr="0009718F" w:rsidRDefault="00820363" w:rsidP="00820363">
      <w:pPr>
        <w:ind w:left="360" w:right="-288"/>
        <w:jc w:val="both"/>
        <w:rPr>
          <w:sz w:val="12"/>
          <w:szCs w:val="12"/>
        </w:rPr>
      </w:pPr>
    </w:p>
    <w:p w14:paraId="47398798" w14:textId="77777777" w:rsidR="00820363" w:rsidRPr="0009718F" w:rsidRDefault="008E49EC" w:rsidP="00D96E9C">
      <w:pPr>
        <w:pStyle w:val="ListParagraph"/>
        <w:numPr>
          <w:ilvl w:val="0"/>
          <w:numId w:val="5"/>
        </w:numPr>
        <w:jc w:val="both"/>
        <w:rPr>
          <w:sz w:val="24"/>
          <w:szCs w:val="24"/>
        </w:rPr>
      </w:pPr>
      <w:r w:rsidRPr="0009718F">
        <w:rPr>
          <w:sz w:val="24"/>
          <w:szCs w:val="24"/>
        </w:rPr>
        <w:t xml:space="preserve">  </w:t>
      </w:r>
      <w:r w:rsidR="00820363" w:rsidRPr="0009718F">
        <w:rPr>
          <w:sz w:val="24"/>
          <w:szCs w:val="24"/>
        </w:rPr>
        <w:t>UNUSUAL ITEMS DUE TO THEIR NATURE, SIZE OR INCIDENCE</w:t>
      </w:r>
    </w:p>
    <w:p w14:paraId="0513B0B5" w14:textId="77777777" w:rsidR="00820363" w:rsidRPr="0009718F" w:rsidRDefault="00820363" w:rsidP="00820363">
      <w:pPr>
        <w:jc w:val="both"/>
        <w:rPr>
          <w:sz w:val="12"/>
          <w:szCs w:val="12"/>
        </w:rPr>
      </w:pPr>
    </w:p>
    <w:p w14:paraId="5F6EC51A" w14:textId="3FE0935D" w:rsidR="00820363" w:rsidRPr="0009718F" w:rsidRDefault="00820363" w:rsidP="00CF7A2C">
      <w:pPr>
        <w:ind w:left="480" w:right="-288"/>
        <w:jc w:val="both"/>
        <w:rPr>
          <w:sz w:val="24"/>
          <w:szCs w:val="24"/>
        </w:rPr>
      </w:pPr>
      <w:r w:rsidRPr="00A64AD7">
        <w:rPr>
          <w:sz w:val="24"/>
          <w:szCs w:val="24"/>
        </w:rPr>
        <w:t>There were no unusual items affecting assets, liabilities, equity, net income or cash flows of the Group for the financial</w:t>
      </w:r>
      <w:r w:rsidRPr="0009718F">
        <w:rPr>
          <w:sz w:val="24"/>
          <w:szCs w:val="24"/>
        </w:rPr>
        <w:t xml:space="preserve"> quarter ended </w:t>
      </w:r>
      <w:bookmarkStart w:id="1" w:name="_Hlk490569385"/>
      <w:r w:rsidRPr="0009718F">
        <w:rPr>
          <w:sz w:val="24"/>
          <w:szCs w:val="24"/>
        </w:rPr>
        <w:t>3</w:t>
      </w:r>
      <w:r w:rsidR="00002F41" w:rsidRPr="0009718F">
        <w:rPr>
          <w:sz w:val="24"/>
          <w:szCs w:val="24"/>
        </w:rPr>
        <w:t>0th</w:t>
      </w:r>
      <w:r w:rsidRPr="0009718F">
        <w:rPr>
          <w:sz w:val="24"/>
          <w:szCs w:val="24"/>
        </w:rPr>
        <w:t xml:space="preserve"> </w:t>
      </w:r>
      <w:r w:rsidR="001D7CF9" w:rsidRPr="0009718F">
        <w:rPr>
          <w:sz w:val="24"/>
          <w:szCs w:val="24"/>
        </w:rPr>
        <w:t>September</w:t>
      </w:r>
      <w:r w:rsidR="00002F41" w:rsidRPr="0009718F">
        <w:rPr>
          <w:sz w:val="24"/>
          <w:szCs w:val="24"/>
        </w:rPr>
        <w:t xml:space="preserve"> </w:t>
      </w:r>
      <w:bookmarkEnd w:id="1"/>
      <w:r w:rsidR="007F676F" w:rsidRPr="0009718F">
        <w:rPr>
          <w:sz w:val="24"/>
          <w:szCs w:val="24"/>
        </w:rPr>
        <w:t>2017</w:t>
      </w:r>
      <w:r w:rsidR="003B0587" w:rsidRPr="0009718F">
        <w:rPr>
          <w:sz w:val="24"/>
          <w:szCs w:val="24"/>
        </w:rPr>
        <w:t>.</w:t>
      </w:r>
    </w:p>
    <w:p w14:paraId="378C5CE0" w14:textId="77777777" w:rsidR="003415F4" w:rsidRPr="0009718F" w:rsidRDefault="003415F4" w:rsidP="00820363">
      <w:pPr>
        <w:ind w:left="360" w:right="-288"/>
        <w:jc w:val="both"/>
        <w:rPr>
          <w:sz w:val="24"/>
          <w:szCs w:val="24"/>
        </w:rPr>
      </w:pPr>
    </w:p>
    <w:p w14:paraId="1ED3BC78" w14:textId="77777777" w:rsidR="00820363" w:rsidRPr="0009718F" w:rsidRDefault="008E49EC" w:rsidP="00D96E9C">
      <w:pPr>
        <w:pStyle w:val="ListParagraph"/>
        <w:numPr>
          <w:ilvl w:val="0"/>
          <w:numId w:val="5"/>
        </w:numPr>
        <w:jc w:val="both"/>
        <w:rPr>
          <w:sz w:val="24"/>
          <w:szCs w:val="24"/>
        </w:rPr>
      </w:pPr>
      <w:r w:rsidRPr="0009718F">
        <w:rPr>
          <w:sz w:val="24"/>
          <w:szCs w:val="24"/>
        </w:rPr>
        <w:t xml:space="preserve">  </w:t>
      </w:r>
      <w:r w:rsidR="00820363" w:rsidRPr="0009718F">
        <w:rPr>
          <w:sz w:val="24"/>
          <w:szCs w:val="24"/>
        </w:rPr>
        <w:t>EFFECTS OF CHANGES IN ESTIMATES</w:t>
      </w:r>
    </w:p>
    <w:p w14:paraId="3BF1F8D2" w14:textId="77777777" w:rsidR="00820363" w:rsidRPr="0009718F" w:rsidRDefault="00A939AD" w:rsidP="00A939AD">
      <w:pPr>
        <w:tabs>
          <w:tab w:val="left" w:pos="1155"/>
        </w:tabs>
        <w:jc w:val="both"/>
        <w:rPr>
          <w:sz w:val="12"/>
          <w:szCs w:val="12"/>
        </w:rPr>
      </w:pPr>
      <w:r w:rsidRPr="0009718F">
        <w:rPr>
          <w:sz w:val="12"/>
          <w:szCs w:val="12"/>
        </w:rPr>
        <w:tab/>
      </w:r>
    </w:p>
    <w:p w14:paraId="4D5C8F49" w14:textId="4DF3AD83" w:rsidR="00820363" w:rsidRPr="0009718F" w:rsidRDefault="00820363" w:rsidP="0047182D">
      <w:pPr>
        <w:ind w:left="480" w:right="-288"/>
        <w:jc w:val="both"/>
        <w:rPr>
          <w:sz w:val="12"/>
          <w:szCs w:val="12"/>
        </w:rPr>
      </w:pPr>
      <w:r w:rsidRPr="0009718F">
        <w:rPr>
          <w:sz w:val="24"/>
          <w:szCs w:val="24"/>
        </w:rPr>
        <w:t xml:space="preserve">There were no changes in estimates that have a material effect in the financial quarter ended </w:t>
      </w:r>
      <w:r w:rsidR="00002F41" w:rsidRPr="0009718F">
        <w:rPr>
          <w:sz w:val="24"/>
          <w:szCs w:val="24"/>
        </w:rPr>
        <w:t xml:space="preserve">30th </w:t>
      </w:r>
      <w:r w:rsidR="001D7CF9" w:rsidRPr="0009718F">
        <w:rPr>
          <w:sz w:val="24"/>
          <w:szCs w:val="24"/>
        </w:rPr>
        <w:t>September</w:t>
      </w:r>
      <w:r w:rsidR="00002F41" w:rsidRPr="0009718F">
        <w:rPr>
          <w:sz w:val="24"/>
          <w:szCs w:val="24"/>
        </w:rPr>
        <w:t xml:space="preserve"> </w:t>
      </w:r>
      <w:r w:rsidR="007F676F" w:rsidRPr="0009718F">
        <w:rPr>
          <w:sz w:val="24"/>
          <w:szCs w:val="24"/>
        </w:rPr>
        <w:t>2017</w:t>
      </w:r>
      <w:r w:rsidRPr="0009718F">
        <w:rPr>
          <w:sz w:val="24"/>
          <w:szCs w:val="24"/>
        </w:rPr>
        <w:t>.</w:t>
      </w:r>
    </w:p>
    <w:p w14:paraId="6DC2B562" w14:textId="77777777" w:rsidR="004C6980" w:rsidRPr="0009718F" w:rsidRDefault="004C6980" w:rsidP="0047182D">
      <w:pPr>
        <w:ind w:left="480" w:right="-288"/>
        <w:jc w:val="both"/>
        <w:rPr>
          <w:sz w:val="12"/>
          <w:szCs w:val="12"/>
        </w:rPr>
      </w:pPr>
    </w:p>
    <w:p w14:paraId="3B67FA36" w14:textId="77777777" w:rsidR="004C6980" w:rsidRPr="0009718F" w:rsidRDefault="004C6980" w:rsidP="0047182D">
      <w:pPr>
        <w:ind w:left="480" w:right="-288"/>
        <w:jc w:val="both"/>
        <w:rPr>
          <w:sz w:val="12"/>
          <w:szCs w:val="12"/>
        </w:rPr>
      </w:pPr>
    </w:p>
    <w:p w14:paraId="72F1CCDE" w14:textId="77777777" w:rsidR="00A939AD" w:rsidRPr="0009718F" w:rsidRDefault="00A939AD" w:rsidP="00820363">
      <w:pPr>
        <w:jc w:val="both"/>
        <w:rPr>
          <w:sz w:val="12"/>
          <w:szCs w:val="12"/>
        </w:rPr>
      </w:pPr>
    </w:p>
    <w:p w14:paraId="414D4953" w14:textId="77777777" w:rsidR="00820363" w:rsidRPr="0009718F" w:rsidRDefault="008E49EC" w:rsidP="00D96E9C">
      <w:pPr>
        <w:pStyle w:val="ListParagraph"/>
        <w:numPr>
          <w:ilvl w:val="0"/>
          <w:numId w:val="5"/>
        </w:numPr>
        <w:jc w:val="both"/>
        <w:rPr>
          <w:sz w:val="24"/>
          <w:szCs w:val="24"/>
        </w:rPr>
      </w:pPr>
      <w:r w:rsidRPr="0009718F">
        <w:rPr>
          <w:sz w:val="24"/>
          <w:szCs w:val="24"/>
        </w:rPr>
        <w:t xml:space="preserve">  </w:t>
      </w:r>
      <w:r w:rsidR="00820363" w:rsidRPr="0009718F">
        <w:rPr>
          <w:sz w:val="24"/>
          <w:szCs w:val="24"/>
        </w:rPr>
        <w:t>CHANGES IN DEBTS AND EQUITY SECURITIES</w:t>
      </w:r>
    </w:p>
    <w:p w14:paraId="4D02C58D" w14:textId="77777777" w:rsidR="00820363" w:rsidRPr="0009718F" w:rsidRDefault="00820363" w:rsidP="00820363">
      <w:pPr>
        <w:ind w:firstLine="360"/>
        <w:jc w:val="both"/>
        <w:rPr>
          <w:sz w:val="12"/>
          <w:szCs w:val="12"/>
        </w:rPr>
      </w:pPr>
    </w:p>
    <w:p w14:paraId="7E61883D" w14:textId="6964E9FD" w:rsidR="00820363" w:rsidRPr="0009718F" w:rsidRDefault="00820363" w:rsidP="00CF7A2C">
      <w:pPr>
        <w:pStyle w:val="BodyTextIndent"/>
        <w:ind w:left="480" w:right="-288"/>
        <w:rPr>
          <w:sz w:val="24"/>
          <w:szCs w:val="24"/>
        </w:rPr>
      </w:pPr>
      <w:r w:rsidRPr="0009718F">
        <w:rPr>
          <w:sz w:val="24"/>
          <w:szCs w:val="24"/>
        </w:rPr>
        <w:t xml:space="preserve">During the current quarter ended </w:t>
      </w:r>
      <w:r w:rsidR="00002F41" w:rsidRPr="0009718F">
        <w:rPr>
          <w:sz w:val="24"/>
          <w:szCs w:val="24"/>
        </w:rPr>
        <w:t xml:space="preserve">30th </w:t>
      </w:r>
      <w:r w:rsidR="001D7CF9" w:rsidRPr="0009718F">
        <w:rPr>
          <w:sz w:val="24"/>
          <w:szCs w:val="24"/>
        </w:rPr>
        <w:t>September</w:t>
      </w:r>
      <w:r w:rsidR="00002F41" w:rsidRPr="0009718F">
        <w:rPr>
          <w:sz w:val="24"/>
          <w:szCs w:val="24"/>
        </w:rPr>
        <w:t xml:space="preserve"> </w:t>
      </w:r>
      <w:bookmarkStart w:id="2" w:name="_Hlk482623384"/>
      <w:r w:rsidR="007F676F" w:rsidRPr="0009718F">
        <w:rPr>
          <w:sz w:val="24"/>
          <w:szCs w:val="24"/>
          <w:lang w:val="en-US"/>
        </w:rPr>
        <w:t>2017</w:t>
      </w:r>
      <w:bookmarkEnd w:id="2"/>
      <w:r w:rsidRPr="0009718F">
        <w:rPr>
          <w:sz w:val="24"/>
          <w:szCs w:val="24"/>
        </w:rPr>
        <w:t>, there were no issuances, cancellations, repurchases, resale and repayments of debts and equity securities</w:t>
      </w:r>
      <w:r w:rsidR="009E41E0" w:rsidRPr="0009718F">
        <w:rPr>
          <w:sz w:val="24"/>
          <w:szCs w:val="24"/>
          <w:lang w:val="en-US"/>
        </w:rPr>
        <w:t>.</w:t>
      </w:r>
      <w:r w:rsidRPr="0009718F">
        <w:rPr>
          <w:sz w:val="24"/>
          <w:szCs w:val="24"/>
        </w:rPr>
        <w:t xml:space="preserve"> </w:t>
      </w:r>
      <w:r w:rsidR="003D4382">
        <w:rPr>
          <w:sz w:val="24"/>
          <w:szCs w:val="24"/>
          <w:lang w:val="en-US"/>
        </w:rPr>
        <w:t xml:space="preserve">The </w:t>
      </w:r>
      <w:r w:rsidR="003D4382" w:rsidRPr="0009718F">
        <w:rPr>
          <w:sz w:val="24"/>
          <w:szCs w:val="24"/>
        </w:rPr>
        <w:t>total</w:t>
      </w:r>
      <w:r w:rsidR="004543E7" w:rsidRPr="0009718F">
        <w:rPr>
          <w:sz w:val="24"/>
          <w:szCs w:val="24"/>
        </w:rPr>
        <w:t xml:space="preserve"> number of shares bought back and held as treasury shares as at </w:t>
      </w:r>
      <w:r w:rsidR="00002F41" w:rsidRPr="0009718F">
        <w:rPr>
          <w:sz w:val="24"/>
          <w:szCs w:val="24"/>
        </w:rPr>
        <w:t xml:space="preserve">30th </w:t>
      </w:r>
      <w:r w:rsidR="001D7CF9" w:rsidRPr="0009718F">
        <w:rPr>
          <w:sz w:val="24"/>
          <w:szCs w:val="24"/>
        </w:rPr>
        <w:t>September</w:t>
      </w:r>
      <w:r w:rsidR="00002F41" w:rsidRPr="0009718F">
        <w:rPr>
          <w:sz w:val="24"/>
          <w:szCs w:val="24"/>
        </w:rPr>
        <w:t xml:space="preserve"> </w:t>
      </w:r>
      <w:r w:rsidR="007F676F" w:rsidRPr="0009718F">
        <w:rPr>
          <w:sz w:val="24"/>
          <w:szCs w:val="24"/>
          <w:lang w:val="en-US"/>
        </w:rPr>
        <w:t xml:space="preserve">2017 </w:t>
      </w:r>
      <w:r w:rsidR="004543E7" w:rsidRPr="0009718F">
        <w:rPr>
          <w:sz w:val="24"/>
          <w:szCs w:val="24"/>
        </w:rPr>
        <w:t>was 8,</w:t>
      </w:r>
      <w:r w:rsidR="004543E7" w:rsidRPr="0009718F">
        <w:rPr>
          <w:sz w:val="24"/>
          <w:szCs w:val="24"/>
          <w:lang w:val="en-US"/>
        </w:rPr>
        <w:t>6</w:t>
      </w:r>
      <w:r w:rsidR="004543E7" w:rsidRPr="0009718F">
        <w:rPr>
          <w:sz w:val="24"/>
          <w:szCs w:val="24"/>
        </w:rPr>
        <w:t>7</w:t>
      </w:r>
      <w:r w:rsidR="004543E7" w:rsidRPr="0009718F">
        <w:rPr>
          <w:sz w:val="24"/>
          <w:szCs w:val="24"/>
          <w:lang w:val="en-US"/>
        </w:rPr>
        <w:t>2</w:t>
      </w:r>
      <w:r w:rsidR="004543E7" w:rsidRPr="0009718F">
        <w:rPr>
          <w:sz w:val="24"/>
          <w:szCs w:val="24"/>
        </w:rPr>
        <w:t>,500 shares.</w:t>
      </w:r>
      <w:r w:rsidR="004543E7" w:rsidRPr="0009718F">
        <w:rPr>
          <w:sz w:val="24"/>
          <w:szCs w:val="24"/>
          <w:lang w:val="en-US"/>
        </w:rPr>
        <w:t xml:space="preserve"> </w:t>
      </w:r>
      <w:r w:rsidR="004543E7" w:rsidRPr="0009718F">
        <w:rPr>
          <w:sz w:val="24"/>
          <w:szCs w:val="24"/>
        </w:rPr>
        <w:t xml:space="preserve">The shares bought back are being held as treasury shares in accordance with Section 67A of the Companies Act 1965. </w:t>
      </w:r>
    </w:p>
    <w:p w14:paraId="7EB47A14" w14:textId="77777777" w:rsidR="00820363" w:rsidRPr="0009718F" w:rsidRDefault="00820363" w:rsidP="00820363">
      <w:pPr>
        <w:pStyle w:val="BodyTextIndent"/>
        <w:rPr>
          <w:sz w:val="16"/>
          <w:szCs w:val="16"/>
          <w:lang w:val="en-US"/>
        </w:rPr>
      </w:pPr>
    </w:p>
    <w:p w14:paraId="6CBC3D16" w14:textId="77777777" w:rsidR="00820363" w:rsidRPr="0009718F" w:rsidRDefault="008E49EC" w:rsidP="00D96E9C">
      <w:pPr>
        <w:pStyle w:val="BodyTextIndent"/>
        <w:numPr>
          <w:ilvl w:val="0"/>
          <w:numId w:val="5"/>
        </w:numPr>
        <w:rPr>
          <w:sz w:val="24"/>
          <w:szCs w:val="24"/>
        </w:rPr>
      </w:pPr>
      <w:r w:rsidRPr="0009718F">
        <w:rPr>
          <w:sz w:val="24"/>
          <w:szCs w:val="24"/>
          <w:lang w:val="en-US"/>
        </w:rPr>
        <w:t xml:space="preserve">  </w:t>
      </w:r>
      <w:r w:rsidR="00820363" w:rsidRPr="0009718F">
        <w:rPr>
          <w:sz w:val="24"/>
          <w:szCs w:val="24"/>
        </w:rPr>
        <w:t>DIVIDEND PAYMENT</w:t>
      </w:r>
    </w:p>
    <w:p w14:paraId="0C805D85" w14:textId="77777777" w:rsidR="00820363" w:rsidRPr="0009718F" w:rsidRDefault="00A400A4" w:rsidP="00A400A4">
      <w:pPr>
        <w:pStyle w:val="BodyTextIndent"/>
        <w:tabs>
          <w:tab w:val="left" w:pos="3675"/>
        </w:tabs>
        <w:rPr>
          <w:sz w:val="16"/>
          <w:szCs w:val="16"/>
        </w:rPr>
      </w:pPr>
      <w:r w:rsidRPr="0009718F">
        <w:rPr>
          <w:sz w:val="16"/>
          <w:szCs w:val="16"/>
        </w:rPr>
        <w:tab/>
      </w:r>
    </w:p>
    <w:p w14:paraId="339079C7" w14:textId="30F8DFDA" w:rsidR="00820363" w:rsidRPr="0009718F" w:rsidRDefault="00820363" w:rsidP="00CF7A2C">
      <w:pPr>
        <w:ind w:left="480" w:right="-288"/>
        <w:jc w:val="both"/>
        <w:rPr>
          <w:sz w:val="24"/>
          <w:szCs w:val="24"/>
        </w:rPr>
      </w:pPr>
      <w:r w:rsidRPr="0009718F">
        <w:rPr>
          <w:sz w:val="24"/>
          <w:szCs w:val="24"/>
        </w:rPr>
        <w:t xml:space="preserve">There was no dividend paid for the current quarter and financial period ended </w:t>
      </w:r>
      <w:r w:rsidR="00002F41" w:rsidRPr="0009718F">
        <w:rPr>
          <w:sz w:val="24"/>
          <w:szCs w:val="24"/>
        </w:rPr>
        <w:t xml:space="preserve">30th </w:t>
      </w:r>
      <w:r w:rsidR="001D7CF9" w:rsidRPr="0009718F">
        <w:rPr>
          <w:sz w:val="24"/>
          <w:szCs w:val="24"/>
        </w:rPr>
        <w:t>September</w:t>
      </w:r>
      <w:r w:rsidR="00002F41" w:rsidRPr="0009718F">
        <w:rPr>
          <w:sz w:val="24"/>
          <w:szCs w:val="24"/>
        </w:rPr>
        <w:t xml:space="preserve"> </w:t>
      </w:r>
      <w:r w:rsidR="007F676F" w:rsidRPr="0009718F">
        <w:rPr>
          <w:sz w:val="24"/>
          <w:szCs w:val="24"/>
        </w:rPr>
        <w:t>2017</w:t>
      </w:r>
      <w:r w:rsidRPr="0009718F">
        <w:rPr>
          <w:sz w:val="24"/>
          <w:szCs w:val="24"/>
        </w:rPr>
        <w:t>.</w:t>
      </w:r>
    </w:p>
    <w:p w14:paraId="489CA58D" w14:textId="77777777" w:rsidR="00820363" w:rsidRPr="0009718F" w:rsidRDefault="00820363" w:rsidP="00937FDC">
      <w:pPr>
        <w:ind w:left="360" w:right="-288"/>
        <w:jc w:val="both"/>
        <w:rPr>
          <w:sz w:val="24"/>
          <w:szCs w:val="24"/>
        </w:rPr>
      </w:pPr>
    </w:p>
    <w:p w14:paraId="3C87FF65" w14:textId="77777777" w:rsidR="00820363" w:rsidRPr="0009718F" w:rsidRDefault="008E49EC" w:rsidP="00D96E9C">
      <w:pPr>
        <w:pStyle w:val="BodyTextIndent"/>
        <w:numPr>
          <w:ilvl w:val="0"/>
          <w:numId w:val="5"/>
        </w:numPr>
        <w:rPr>
          <w:sz w:val="24"/>
          <w:szCs w:val="24"/>
        </w:rPr>
      </w:pPr>
      <w:r w:rsidRPr="0009718F">
        <w:rPr>
          <w:sz w:val="24"/>
          <w:szCs w:val="24"/>
          <w:lang w:val="en-US"/>
        </w:rPr>
        <w:t xml:space="preserve">  </w:t>
      </w:r>
      <w:r w:rsidR="00820363" w:rsidRPr="0009718F">
        <w:rPr>
          <w:sz w:val="24"/>
          <w:szCs w:val="24"/>
        </w:rPr>
        <w:t>CARRYING AMOUNT OF REVALUED ASSETS</w:t>
      </w:r>
    </w:p>
    <w:p w14:paraId="485D921E" w14:textId="77777777" w:rsidR="00820363" w:rsidRPr="0009718F" w:rsidRDefault="00820363" w:rsidP="00820363">
      <w:pPr>
        <w:pStyle w:val="BodyTextIndent"/>
        <w:rPr>
          <w:sz w:val="16"/>
          <w:szCs w:val="16"/>
        </w:rPr>
      </w:pPr>
    </w:p>
    <w:p w14:paraId="48BB6D3A" w14:textId="25F4AD82" w:rsidR="00820363" w:rsidRPr="0009718F" w:rsidRDefault="00204816" w:rsidP="006E630F">
      <w:pPr>
        <w:autoSpaceDE w:val="0"/>
        <w:autoSpaceDN w:val="0"/>
        <w:adjustRightInd w:val="0"/>
        <w:ind w:left="480"/>
        <w:rPr>
          <w:sz w:val="24"/>
          <w:szCs w:val="24"/>
        </w:rPr>
      </w:pPr>
      <w:r w:rsidRPr="0009718F">
        <w:rPr>
          <w:sz w:val="24"/>
          <w:szCs w:val="24"/>
        </w:rPr>
        <w:t xml:space="preserve">The Group has revalued its leasehold land during the </w:t>
      </w:r>
      <w:r w:rsidR="00A510DD" w:rsidRPr="0009718F">
        <w:rPr>
          <w:sz w:val="24"/>
          <w:szCs w:val="24"/>
        </w:rPr>
        <w:t xml:space="preserve">last </w:t>
      </w:r>
      <w:r w:rsidRPr="0009718F">
        <w:rPr>
          <w:sz w:val="24"/>
          <w:szCs w:val="24"/>
        </w:rPr>
        <w:t xml:space="preserve">financial year based on valuations carried out by an independent professional valuer on an open market value basis during </w:t>
      </w:r>
      <w:r w:rsidR="00A510DD" w:rsidRPr="0009718F">
        <w:rPr>
          <w:sz w:val="24"/>
          <w:szCs w:val="24"/>
        </w:rPr>
        <w:t xml:space="preserve">that </w:t>
      </w:r>
      <w:r w:rsidRPr="0009718F">
        <w:rPr>
          <w:sz w:val="24"/>
          <w:szCs w:val="24"/>
        </w:rPr>
        <w:t>financial year.</w:t>
      </w:r>
    </w:p>
    <w:p w14:paraId="595A2C3A" w14:textId="77777777" w:rsidR="0050093A" w:rsidRPr="0009718F" w:rsidRDefault="0050093A" w:rsidP="00820363">
      <w:pPr>
        <w:pStyle w:val="BodyTextIndent"/>
        <w:ind w:right="-288"/>
        <w:rPr>
          <w:sz w:val="24"/>
          <w:szCs w:val="24"/>
          <w:lang w:val="en-US"/>
        </w:rPr>
      </w:pPr>
    </w:p>
    <w:p w14:paraId="735F84F5" w14:textId="77777777" w:rsidR="00820363" w:rsidRPr="0009718F" w:rsidRDefault="00820363" w:rsidP="00D96E9C">
      <w:pPr>
        <w:pStyle w:val="BodyTextIndent"/>
        <w:numPr>
          <w:ilvl w:val="0"/>
          <w:numId w:val="5"/>
        </w:numPr>
        <w:rPr>
          <w:sz w:val="24"/>
          <w:szCs w:val="24"/>
        </w:rPr>
      </w:pPr>
      <w:r w:rsidRPr="0009718F">
        <w:rPr>
          <w:sz w:val="24"/>
          <w:szCs w:val="24"/>
        </w:rPr>
        <w:t>SUBSEQUENT EVENTS</w:t>
      </w:r>
    </w:p>
    <w:p w14:paraId="327CADAE" w14:textId="77777777" w:rsidR="00820363" w:rsidRPr="0009718F" w:rsidRDefault="00820363" w:rsidP="00820363">
      <w:pPr>
        <w:pStyle w:val="BodyTextIndent"/>
        <w:rPr>
          <w:sz w:val="16"/>
          <w:szCs w:val="16"/>
        </w:rPr>
      </w:pPr>
    </w:p>
    <w:p w14:paraId="741FBDA8" w14:textId="77777777" w:rsidR="00FB60E0" w:rsidRPr="0009718F" w:rsidRDefault="00820363" w:rsidP="00CF7A2C">
      <w:pPr>
        <w:pStyle w:val="BodyTextIndent"/>
        <w:ind w:left="480" w:right="-288"/>
        <w:rPr>
          <w:sz w:val="24"/>
          <w:szCs w:val="24"/>
          <w:lang w:val="en-US"/>
        </w:rPr>
      </w:pPr>
      <w:r w:rsidRPr="0009718F">
        <w:rPr>
          <w:sz w:val="24"/>
          <w:szCs w:val="24"/>
        </w:rPr>
        <w:t>There were no material events subsequent to the interim financial report under review as at the date of this announcement</w:t>
      </w:r>
      <w:r w:rsidR="00FB60E0" w:rsidRPr="0009718F">
        <w:rPr>
          <w:sz w:val="24"/>
          <w:szCs w:val="24"/>
          <w:lang w:val="en-US"/>
        </w:rPr>
        <w:t>.</w:t>
      </w:r>
    </w:p>
    <w:p w14:paraId="00BBC0E2" w14:textId="77777777" w:rsidR="0050093A" w:rsidRPr="0009718F" w:rsidRDefault="0050093A" w:rsidP="00820363">
      <w:pPr>
        <w:pStyle w:val="BodyTextIndent"/>
        <w:ind w:right="-288"/>
        <w:rPr>
          <w:sz w:val="24"/>
          <w:szCs w:val="24"/>
          <w:lang w:val="en-US"/>
        </w:rPr>
      </w:pPr>
    </w:p>
    <w:p w14:paraId="3DE3527A" w14:textId="77777777" w:rsidR="003C4206" w:rsidRPr="0009718F" w:rsidRDefault="003C4206" w:rsidP="00937FDC">
      <w:pPr>
        <w:tabs>
          <w:tab w:val="num" w:pos="360"/>
        </w:tabs>
        <w:ind w:left="360" w:hanging="360"/>
        <w:jc w:val="both"/>
        <w:rPr>
          <w:sz w:val="24"/>
          <w:szCs w:val="24"/>
        </w:rPr>
      </w:pPr>
    </w:p>
    <w:p w14:paraId="54DFEAE3" w14:textId="77777777" w:rsidR="003C4206" w:rsidRPr="0009718F" w:rsidRDefault="003C4206" w:rsidP="00937FDC">
      <w:pPr>
        <w:tabs>
          <w:tab w:val="num" w:pos="360"/>
        </w:tabs>
        <w:ind w:left="360" w:hanging="360"/>
        <w:jc w:val="both"/>
        <w:rPr>
          <w:sz w:val="24"/>
          <w:szCs w:val="24"/>
        </w:rPr>
      </w:pPr>
    </w:p>
    <w:p w14:paraId="2D42E03B" w14:textId="77777777" w:rsidR="003C4206" w:rsidRPr="0009718F" w:rsidRDefault="003C4206" w:rsidP="00937FDC">
      <w:pPr>
        <w:tabs>
          <w:tab w:val="num" w:pos="360"/>
        </w:tabs>
        <w:ind w:left="360" w:hanging="360"/>
        <w:jc w:val="both"/>
        <w:rPr>
          <w:sz w:val="24"/>
          <w:szCs w:val="24"/>
        </w:rPr>
        <w:sectPr w:rsidR="003C4206" w:rsidRPr="0009718F" w:rsidSect="00AA7EEC">
          <w:footerReference w:type="even" r:id="rId8"/>
          <w:footerReference w:type="default" r:id="rId9"/>
          <w:pgSz w:w="11909" w:h="16834" w:code="9"/>
          <w:pgMar w:top="1440" w:right="1797" w:bottom="828" w:left="1797" w:header="720" w:footer="964" w:gutter="0"/>
          <w:paperSrc w:first="15" w:other="15"/>
          <w:cols w:space="720"/>
        </w:sectPr>
      </w:pPr>
    </w:p>
    <w:p w14:paraId="79A10222" w14:textId="77777777" w:rsidR="00937FDC" w:rsidRPr="0009718F" w:rsidRDefault="00937FDC" w:rsidP="00D96E9C">
      <w:pPr>
        <w:pStyle w:val="ListParagraph"/>
        <w:numPr>
          <w:ilvl w:val="0"/>
          <w:numId w:val="5"/>
        </w:numPr>
        <w:ind w:left="810" w:hanging="450"/>
        <w:jc w:val="both"/>
        <w:rPr>
          <w:sz w:val="24"/>
          <w:szCs w:val="24"/>
        </w:rPr>
      </w:pPr>
      <w:r w:rsidRPr="0009718F">
        <w:rPr>
          <w:sz w:val="24"/>
          <w:szCs w:val="24"/>
        </w:rPr>
        <w:lastRenderedPageBreak/>
        <w:t>OPERATING SEGMENTS</w:t>
      </w:r>
    </w:p>
    <w:p w14:paraId="30DBD63A" w14:textId="77777777" w:rsidR="00937FDC" w:rsidRPr="0009718F" w:rsidRDefault="00937FDC" w:rsidP="00937FDC">
      <w:pPr>
        <w:ind w:left="360"/>
        <w:jc w:val="both"/>
        <w:rPr>
          <w:sz w:val="24"/>
          <w:szCs w:val="24"/>
        </w:rPr>
      </w:pPr>
    </w:p>
    <w:p w14:paraId="7CB63CEB" w14:textId="77777777" w:rsidR="00937FDC" w:rsidRPr="0009718F" w:rsidRDefault="00937FDC" w:rsidP="00937FDC">
      <w:pPr>
        <w:ind w:left="360"/>
        <w:jc w:val="both"/>
        <w:rPr>
          <w:sz w:val="24"/>
          <w:szCs w:val="24"/>
        </w:rPr>
      </w:pPr>
      <w:r w:rsidRPr="0009718F">
        <w:rPr>
          <w:sz w:val="24"/>
          <w:szCs w:val="24"/>
        </w:rPr>
        <w:t>The Group has four reportable segments, namely automotive, timber, property development and others which involved in Group-level corporate services, treasury functions and investments in marketable securities, which are the Group’s strategic business units. The strategic business units offer different products and services, and are managed separately.</w:t>
      </w:r>
    </w:p>
    <w:p w14:paraId="764BF901" w14:textId="77777777" w:rsidR="00937FDC" w:rsidRPr="0009718F" w:rsidRDefault="00937FDC" w:rsidP="00937FDC">
      <w:pPr>
        <w:jc w:val="both"/>
      </w:pPr>
    </w:p>
    <w:bookmarkStart w:id="3" w:name="_MON_1390809033"/>
    <w:bookmarkStart w:id="4" w:name="_MON_1390809230"/>
    <w:bookmarkStart w:id="5" w:name="_MON_1390907207"/>
    <w:bookmarkStart w:id="6" w:name="_MON_1391424088"/>
    <w:bookmarkStart w:id="7" w:name="_MON_1391424134"/>
    <w:bookmarkStart w:id="8" w:name="_MON_1391586199"/>
    <w:bookmarkStart w:id="9" w:name="_MON_1391860244"/>
    <w:bookmarkStart w:id="10" w:name="_MON_1383570101"/>
    <w:bookmarkStart w:id="11" w:name="_MON_1383729844"/>
    <w:bookmarkStart w:id="12" w:name="_MON_1390808153"/>
    <w:bookmarkStart w:id="13" w:name="_MON_1390808481"/>
    <w:bookmarkStart w:id="14" w:name="_MON_1390808612"/>
    <w:bookmarkStart w:id="15" w:name="_MON_1390808761"/>
    <w:bookmarkEnd w:id="3"/>
    <w:bookmarkEnd w:id="4"/>
    <w:bookmarkEnd w:id="5"/>
    <w:bookmarkEnd w:id="6"/>
    <w:bookmarkEnd w:id="7"/>
    <w:bookmarkEnd w:id="8"/>
    <w:bookmarkEnd w:id="9"/>
    <w:bookmarkEnd w:id="10"/>
    <w:bookmarkEnd w:id="11"/>
    <w:bookmarkEnd w:id="12"/>
    <w:bookmarkEnd w:id="13"/>
    <w:bookmarkEnd w:id="14"/>
    <w:bookmarkEnd w:id="15"/>
    <w:bookmarkStart w:id="16" w:name="_MON_1390808876"/>
    <w:bookmarkEnd w:id="16"/>
    <w:p w14:paraId="5B9CA275" w14:textId="538B5E58" w:rsidR="00937FDC" w:rsidRPr="0009718F" w:rsidRDefault="00E02F48" w:rsidP="00721D89">
      <w:pPr>
        <w:ind w:firstLine="360"/>
        <w:jc w:val="both"/>
        <w:rPr>
          <w:sz w:val="24"/>
          <w:szCs w:val="24"/>
        </w:rPr>
      </w:pPr>
      <w:r w:rsidRPr="0009718F">
        <w:rPr>
          <w:sz w:val="24"/>
          <w:szCs w:val="24"/>
        </w:rPr>
        <w:object w:dxaOrig="14806" w:dyaOrig="3302" w14:anchorId="46817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165pt" o:ole="">
            <v:imagedata r:id="rId10" o:title=""/>
          </v:shape>
          <o:OLEObject Type="Embed" ProgID="Excel.Sheet.8" ShapeID="_x0000_i1025" DrawAspect="Content" ObjectID="_1572760268" r:id="rId11"/>
        </w:object>
      </w:r>
    </w:p>
    <w:p w14:paraId="23114F87" w14:textId="77777777" w:rsidR="008B31BD" w:rsidRPr="0009718F" w:rsidRDefault="008B31BD" w:rsidP="00937FDC">
      <w:pPr>
        <w:ind w:left="360"/>
        <w:jc w:val="both"/>
        <w:rPr>
          <w:sz w:val="24"/>
          <w:szCs w:val="24"/>
        </w:rPr>
      </w:pPr>
    </w:p>
    <w:p w14:paraId="6A24AC88" w14:textId="77777777" w:rsidR="008B31BD" w:rsidRPr="0009718F" w:rsidRDefault="008B31BD" w:rsidP="00937FDC">
      <w:pPr>
        <w:ind w:left="360"/>
        <w:jc w:val="both"/>
        <w:rPr>
          <w:sz w:val="24"/>
          <w:szCs w:val="24"/>
        </w:rPr>
        <w:sectPr w:rsidR="008B31BD" w:rsidRPr="0009718F" w:rsidSect="00C453E5">
          <w:pgSz w:w="16834" w:h="11909" w:orient="landscape" w:code="9"/>
          <w:pgMar w:top="1800" w:right="1440" w:bottom="1800" w:left="720" w:header="720" w:footer="720" w:gutter="0"/>
          <w:cols w:space="720"/>
        </w:sectPr>
      </w:pPr>
    </w:p>
    <w:p w14:paraId="1BFBC9FB" w14:textId="77777777" w:rsidR="00937FDC" w:rsidRPr="0009718F" w:rsidRDefault="00937FDC" w:rsidP="00D96E9C">
      <w:pPr>
        <w:pStyle w:val="BodyTextIndent"/>
        <w:numPr>
          <w:ilvl w:val="0"/>
          <w:numId w:val="5"/>
        </w:numPr>
        <w:rPr>
          <w:sz w:val="24"/>
          <w:szCs w:val="24"/>
        </w:rPr>
      </w:pPr>
      <w:r w:rsidRPr="0009718F">
        <w:rPr>
          <w:sz w:val="24"/>
          <w:szCs w:val="24"/>
        </w:rPr>
        <w:lastRenderedPageBreak/>
        <w:t>CHANGES IN COMPOSITION OF THE GROUP</w:t>
      </w:r>
    </w:p>
    <w:p w14:paraId="25805D3B" w14:textId="77777777" w:rsidR="00937FDC" w:rsidRPr="0009718F" w:rsidRDefault="00937FDC" w:rsidP="00937FDC">
      <w:pPr>
        <w:pStyle w:val="BodyTextIndent"/>
        <w:rPr>
          <w:sz w:val="16"/>
          <w:szCs w:val="16"/>
        </w:rPr>
      </w:pPr>
    </w:p>
    <w:p w14:paraId="48855901" w14:textId="77777777" w:rsidR="00B373C9" w:rsidRPr="0009718F" w:rsidRDefault="00B373C9" w:rsidP="00B373C9">
      <w:pPr>
        <w:pStyle w:val="BodyTextIndent"/>
        <w:ind w:left="720" w:right="-288" w:hanging="360"/>
        <w:rPr>
          <w:sz w:val="24"/>
          <w:szCs w:val="24"/>
        </w:rPr>
      </w:pPr>
      <w:r w:rsidRPr="0009718F">
        <w:rPr>
          <w:sz w:val="24"/>
          <w:szCs w:val="24"/>
        </w:rPr>
        <w:t xml:space="preserve">There were no changes in the composition of the Group for the current quarter ended </w:t>
      </w:r>
    </w:p>
    <w:p w14:paraId="3EB45A86" w14:textId="56B08809" w:rsidR="00937FDC" w:rsidRPr="0009718F" w:rsidRDefault="00B373C9" w:rsidP="00B373C9">
      <w:pPr>
        <w:pStyle w:val="BodyTextIndent"/>
        <w:ind w:left="720" w:right="-288" w:hanging="360"/>
        <w:rPr>
          <w:sz w:val="24"/>
          <w:szCs w:val="24"/>
        </w:rPr>
      </w:pPr>
      <w:r w:rsidRPr="0009718F">
        <w:rPr>
          <w:sz w:val="24"/>
          <w:szCs w:val="24"/>
        </w:rPr>
        <w:t>3</w:t>
      </w:r>
      <w:r w:rsidR="005932FC" w:rsidRPr="0009718F">
        <w:rPr>
          <w:sz w:val="24"/>
          <w:szCs w:val="24"/>
          <w:lang w:val="en-US"/>
        </w:rPr>
        <w:t>0th</w:t>
      </w:r>
      <w:r w:rsidRPr="0009718F">
        <w:rPr>
          <w:sz w:val="24"/>
          <w:szCs w:val="24"/>
        </w:rPr>
        <w:t xml:space="preserve"> </w:t>
      </w:r>
      <w:r w:rsidR="001D7CF9" w:rsidRPr="0009718F">
        <w:rPr>
          <w:sz w:val="24"/>
          <w:szCs w:val="24"/>
          <w:lang w:val="en-US"/>
        </w:rPr>
        <w:t>September</w:t>
      </w:r>
      <w:r w:rsidR="005932FC" w:rsidRPr="0009718F">
        <w:rPr>
          <w:sz w:val="24"/>
          <w:szCs w:val="24"/>
          <w:lang w:val="en-US"/>
        </w:rPr>
        <w:t xml:space="preserve"> </w:t>
      </w:r>
      <w:r w:rsidR="00575D4F" w:rsidRPr="0009718F">
        <w:rPr>
          <w:sz w:val="24"/>
          <w:szCs w:val="24"/>
          <w:lang w:val="en-US"/>
        </w:rPr>
        <w:t>2017</w:t>
      </w:r>
      <w:r w:rsidRPr="0009718F">
        <w:rPr>
          <w:sz w:val="24"/>
          <w:szCs w:val="24"/>
        </w:rPr>
        <w:t>.</w:t>
      </w:r>
    </w:p>
    <w:p w14:paraId="28019462" w14:textId="77777777" w:rsidR="00937FDC" w:rsidRPr="0009718F" w:rsidRDefault="00937FDC" w:rsidP="00937FDC">
      <w:pPr>
        <w:pStyle w:val="BodyTextIndent"/>
        <w:rPr>
          <w:sz w:val="16"/>
          <w:szCs w:val="16"/>
        </w:rPr>
      </w:pPr>
    </w:p>
    <w:p w14:paraId="5FA634F0" w14:textId="77777777" w:rsidR="00937FDC" w:rsidRPr="0009718F" w:rsidRDefault="00937FDC" w:rsidP="00D96E9C">
      <w:pPr>
        <w:pStyle w:val="BodyTextIndent"/>
        <w:numPr>
          <w:ilvl w:val="0"/>
          <w:numId w:val="5"/>
        </w:numPr>
        <w:rPr>
          <w:sz w:val="24"/>
          <w:szCs w:val="24"/>
        </w:rPr>
      </w:pPr>
      <w:r w:rsidRPr="0009718F">
        <w:rPr>
          <w:sz w:val="24"/>
          <w:szCs w:val="24"/>
        </w:rPr>
        <w:t>CHANGES IN CONTINGENT LIABILITIES OR CONTINGENT ASSETS</w:t>
      </w:r>
    </w:p>
    <w:p w14:paraId="0649C404" w14:textId="77777777" w:rsidR="00937FDC" w:rsidRPr="0009718F" w:rsidRDefault="00937FDC" w:rsidP="00937FDC">
      <w:pPr>
        <w:pStyle w:val="BodyTextIndent"/>
        <w:rPr>
          <w:sz w:val="16"/>
          <w:szCs w:val="16"/>
        </w:rPr>
      </w:pPr>
    </w:p>
    <w:p w14:paraId="56F18559" w14:textId="5B922D72" w:rsidR="00937FDC" w:rsidRPr="0009718F" w:rsidRDefault="00937FDC" w:rsidP="00937FDC">
      <w:pPr>
        <w:pStyle w:val="BodyTextIndent"/>
        <w:ind w:right="-288"/>
        <w:rPr>
          <w:sz w:val="24"/>
          <w:szCs w:val="24"/>
        </w:rPr>
      </w:pPr>
      <w:r w:rsidRPr="0009718F">
        <w:rPr>
          <w:sz w:val="24"/>
          <w:szCs w:val="24"/>
        </w:rPr>
        <w:t>There were no changes in contingent liabilities or contingent assets of the Group since the last statement of financial position as at 3</w:t>
      </w:r>
      <w:r w:rsidR="00ED7852" w:rsidRPr="0009718F">
        <w:rPr>
          <w:sz w:val="24"/>
          <w:szCs w:val="24"/>
        </w:rPr>
        <w:t>1st</w:t>
      </w:r>
      <w:r w:rsidR="00324C5F" w:rsidRPr="0009718F">
        <w:rPr>
          <w:sz w:val="24"/>
          <w:szCs w:val="24"/>
        </w:rPr>
        <w:t xml:space="preserve"> </w:t>
      </w:r>
      <w:r w:rsidR="008806B5" w:rsidRPr="0009718F">
        <w:rPr>
          <w:sz w:val="24"/>
          <w:szCs w:val="24"/>
          <w:lang w:val="en-US"/>
        </w:rPr>
        <w:t>December</w:t>
      </w:r>
      <w:r w:rsidR="00B373C9" w:rsidRPr="0009718F">
        <w:rPr>
          <w:sz w:val="24"/>
          <w:szCs w:val="24"/>
        </w:rPr>
        <w:t xml:space="preserve"> </w:t>
      </w:r>
      <w:r w:rsidR="00575D4F" w:rsidRPr="0009718F">
        <w:rPr>
          <w:sz w:val="24"/>
          <w:szCs w:val="24"/>
          <w:lang w:val="en-MY"/>
        </w:rPr>
        <w:t>2016</w:t>
      </w:r>
      <w:r w:rsidRPr="0009718F">
        <w:rPr>
          <w:sz w:val="24"/>
          <w:szCs w:val="24"/>
        </w:rPr>
        <w:t>.</w:t>
      </w:r>
    </w:p>
    <w:p w14:paraId="0A959482" w14:textId="77777777" w:rsidR="00937FDC" w:rsidRPr="0009718F" w:rsidRDefault="00937FDC" w:rsidP="00937FDC">
      <w:pPr>
        <w:pStyle w:val="BodyTextIndent"/>
        <w:rPr>
          <w:sz w:val="16"/>
          <w:szCs w:val="16"/>
        </w:rPr>
      </w:pPr>
      <w:r w:rsidRPr="0009718F">
        <w:rPr>
          <w:sz w:val="24"/>
          <w:szCs w:val="24"/>
        </w:rPr>
        <w:t xml:space="preserve"> </w:t>
      </w:r>
    </w:p>
    <w:p w14:paraId="4571BD78" w14:textId="77777777" w:rsidR="00C552E7" w:rsidRPr="0009718F" w:rsidRDefault="00C552E7" w:rsidP="00DC4ADA">
      <w:pPr>
        <w:pStyle w:val="BodyTextIndent"/>
        <w:rPr>
          <w:sz w:val="24"/>
          <w:szCs w:val="24"/>
          <w:lang w:val="en-US"/>
        </w:rPr>
      </w:pPr>
    </w:p>
    <w:p w14:paraId="377E76A4" w14:textId="77777777" w:rsidR="00C552E7" w:rsidRPr="0009718F" w:rsidRDefault="00C552E7" w:rsidP="00DC4ADA">
      <w:pPr>
        <w:pStyle w:val="BodyTextIndent"/>
        <w:rPr>
          <w:sz w:val="24"/>
          <w:szCs w:val="24"/>
          <w:lang w:val="en-US"/>
        </w:rPr>
      </w:pPr>
    </w:p>
    <w:p w14:paraId="099A4773" w14:textId="77777777" w:rsidR="00C552E7" w:rsidRPr="0009718F" w:rsidRDefault="00C552E7" w:rsidP="00DC4ADA">
      <w:pPr>
        <w:pStyle w:val="BodyTextIndent"/>
        <w:rPr>
          <w:sz w:val="24"/>
          <w:szCs w:val="24"/>
          <w:lang w:val="en-US"/>
        </w:rPr>
      </w:pPr>
    </w:p>
    <w:p w14:paraId="7EB3C065" w14:textId="77777777" w:rsidR="00C552E7" w:rsidRPr="0009718F" w:rsidRDefault="00C552E7" w:rsidP="00DC4ADA">
      <w:pPr>
        <w:pStyle w:val="BodyTextIndent"/>
        <w:rPr>
          <w:sz w:val="24"/>
          <w:szCs w:val="24"/>
          <w:lang w:val="en-US"/>
        </w:rPr>
      </w:pPr>
    </w:p>
    <w:p w14:paraId="50E8D6AE" w14:textId="77777777" w:rsidR="00C552E7" w:rsidRPr="0009718F" w:rsidRDefault="00C552E7" w:rsidP="00DC4ADA">
      <w:pPr>
        <w:pStyle w:val="BodyTextIndent"/>
        <w:rPr>
          <w:sz w:val="24"/>
          <w:szCs w:val="24"/>
          <w:lang w:val="en-US"/>
        </w:rPr>
      </w:pPr>
    </w:p>
    <w:p w14:paraId="0F80B1F2" w14:textId="77777777" w:rsidR="00C552E7" w:rsidRPr="0009718F" w:rsidRDefault="00C552E7" w:rsidP="00DC4ADA">
      <w:pPr>
        <w:pStyle w:val="BodyTextIndent"/>
        <w:rPr>
          <w:sz w:val="24"/>
          <w:szCs w:val="24"/>
          <w:lang w:val="en-US"/>
        </w:rPr>
      </w:pPr>
    </w:p>
    <w:p w14:paraId="5737577F" w14:textId="77777777" w:rsidR="00C552E7" w:rsidRPr="0009718F" w:rsidRDefault="00C552E7" w:rsidP="00DC4ADA">
      <w:pPr>
        <w:pStyle w:val="BodyTextIndent"/>
        <w:rPr>
          <w:sz w:val="24"/>
          <w:szCs w:val="24"/>
          <w:lang w:val="en-US"/>
        </w:rPr>
      </w:pPr>
    </w:p>
    <w:p w14:paraId="01248107" w14:textId="77777777" w:rsidR="00C552E7" w:rsidRPr="0009718F" w:rsidRDefault="00C552E7" w:rsidP="00DC4ADA">
      <w:pPr>
        <w:pStyle w:val="BodyTextIndent"/>
        <w:rPr>
          <w:sz w:val="24"/>
          <w:szCs w:val="24"/>
          <w:lang w:val="en-US"/>
        </w:rPr>
      </w:pPr>
    </w:p>
    <w:p w14:paraId="031B2765" w14:textId="77777777" w:rsidR="003E6DD5" w:rsidRPr="0009718F" w:rsidRDefault="003E6DD5">
      <w:pPr>
        <w:rPr>
          <w:i/>
          <w:sz w:val="24"/>
          <w:szCs w:val="24"/>
          <w:lang w:val="x-none" w:eastAsia="x-none"/>
        </w:rPr>
      </w:pPr>
      <w:r w:rsidRPr="0009718F">
        <w:rPr>
          <w:i/>
          <w:sz w:val="24"/>
          <w:szCs w:val="24"/>
        </w:rPr>
        <w:br w:type="page"/>
      </w:r>
    </w:p>
    <w:p w14:paraId="70768D82" w14:textId="4D34F155" w:rsidR="00937FDC" w:rsidRPr="0009718F" w:rsidRDefault="00937FDC" w:rsidP="00937FDC">
      <w:pPr>
        <w:pStyle w:val="BodyTextIndent"/>
        <w:ind w:left="0"/>
        <w:rPr>
          <w:i/>
          <w:sz w:val="24"/>
          <w:szCs w:val="24"/>
        </w:rPr>
      </w:pPr>
      <w:r w:rsidRPr="0009718F">
        <w:rPr>
          <w:i/>
          <w:sz w:val="24"/>
          <w:szCs w:val="24"/>
        </w:rPr>
        <w:lastRenderedPageBreak/>
        <w:t>PART B – EXPLANATORY NOTES PURSUANT TO APPENDIX 9B OF THE LISTING REQUIREMENTS OF BURSA MALAYSIA SECURITIES BERHAD</w:t>
      </w:r>
    </w:p>
    <w:p w14:paraId="0F1F9543" w14:textId="77777777" w:rsidR="00BE0C32" w:rsidRPr="0009718F" w:rsidRDefault="00BE0C32" w:rsidP="00BE0C32">
      <w:pPr>
        <w:pStyle w:val="BodyTextIndent"/>
        <w:tabs>
          <w:tab w:val="left" w:pos="360"/>
        </w:tabs>
        <w:ind w:left="0"/>
        <w:jc w:val="left"/>
        <w:rPr>
          <w:sz w:val="24"/>
          <w:szCs w:val="24"/>
          <w:lang w:val="en-US"/>
        </w:rPr>
      </w:pPr>
    </w:p>
    <w:p w14:paraId="49ADF30C" w14:textId="61029CE8" w:rsidR="00937FDC" w:rsidRPr="0009718F" w:rsidRDefault="00542AB4" w:rsidP="00BE0C32">
      <w:pPr>
        <w:pStyle w:val="BodyTextIndent"/>
        <w:tabs>
          <w:tab w:val="left" w:pos="360"/>
        </w:tabs>
        <w:ind w:left="0"/>
        <w:jc w:val="left"/>
        <w:rPr>
          <w:sz w:val="24"/>
          <w:szCs w:val="24"/>
        </w:rPr>
      </w:pPr>
      <w:r w:rsidRPr="0009718F">
        <w:rPr>
          <w:sz w:val="24"/>
          <w:szCs w:val="24"/>
          <w:lang w:val="en-US"/>
        </w:rPr>
        <w:t>14</w:t>
      </w:r>
      <w:r w:rsidR="00BE0C32" w:rsidRPr="0009718F">
        <w:rPr>
          <w:sz w:val="24"/>
          <w:szCs w:val="24"/>
          <w:lang w:val="en-US"/>
        </w:rPr>
        <w:t xml:space="preserve">. </w:t>
      </w:r>
      <w:r w:rsidR="00937FDC" w:rsidRPr="0009718F">
        <w:rPr>
          <w:sz w:val="24"/>
          <w:szCs w:val="24"/>
        </w:rPr>
        <w:t>REVIEW OF PERFORMANCE</w:t>
      </w:r>
    </w:p>
    <w:p w14:paraId="3151E6AE" w14:textId="77777777" w:rsidR="00937FDC" w:rsidRPr="0009718F" w:rsidRDefault="00937FDC" w:rsidP="00937FDC">
      <w:pPr>
        <w:pStyle w:val="BodyTextIndent"/>
        <w:rPr>
          <w:sz w:val="16"/>
          <w:szCs w:val="16"/>
        </w:rPr>
      </w:pPr>
    </w:p>
    <w:p w14:paraId="2E0B7A74" w14:textId="21138E27" w:rsidR="00A31F11" w:rsidRDefault="00A31F11" w:rsidP="0047745A">
      <w:pPr>
        <w:pStyle w:val="BodyTextIndent"/>
        <w:numPr>
          <w:ilvl w:val="0"/>
          <w:numId w:val="9"/>
        </w:numPr>
        <w:ind w:right="-288"/>
        <w:rPr>
          <w:sz w:val="24"/>
          <w:szCs w:val="24"/>
          <w:lang w:val="en-US"/>
        </w:rPr>
      </w:pPr>
      <w:bookmarkStart w:id="17" w:name="_Hlk490649451"/>
      <w:r w:rsidRPr="0009718F">
        <w:rPr>
          <w:sz w:val="24"/>
          <w:szCs w:val="24"/>
          <w:lang w:val="en-US"/>
        </w:rPr>
        <w:t xml:space="preserve">The Group’s revenue </w:t>
      </w:r>
      <w:r w:rsidRPr="0009718F">
        <w:rPr>
          <w:sz w:val="24"/>
          <w:szCs w:val="24"/>
        </w:rPr>
        <w:t xml:space="preserve">for the current quarter </w:t>
      </w:r>
      <w:r w:rsidR="00A64AD7">
        <w:rPr>
          <w:sz w:val="24"/>
          <w:szCs w:val="24"/>
          <w:lang w:val="en-US"/>
        </w:rPr>
        <w:t>increased</w:t>
      </w:r>
      <w:r w:rsidR="00A64AD7" w:rsidRPr="0009718F">
        <w:rPr>
          <w:sz w:val="24"/>
          <w:szCs w:val="24"/>
          <w:lang w:val="en-US"/>
        </w:rPr>
        <w:t xml:space="preserve"> </w:t>
      </w:r>
      <w:r w:rsidR="00C36A0C" w:rsidRPr="0009718F">
        <w:rPr>
          <w:sz w:val="24"/>
          <w:szCs w:val="24"/>
          <w:lang w:val="en-US"/>
        </w:rPr>
        <w:t xml:space="preserve">to </w:t>
      </w:r>
      <w:r w:rsidR="008166F3" w:rsidRPr="0009718F">
        <w:rPr>
          <w:sz w:val="24"/>
          <w:szCs w:val="24"/>
          <w:lang w:val="en-MY"/>
        </w:rPr>
        <w:t>RM</w:t>
      </w:r>
      <w:r w:rsidR="0084457F" w:rsidRPr="0009718F">
        <w:rPr>
          <w:sz w:val="24"/>
          <w:szCs w:val="24"/>
          <w:lang w:val="en-MY"/>
        </w:rPr>
        <w:t xml:space="preserve">18.49 </w:t>
      </w:r>
      <w:r w:rsidRPr="0009718F">
        <w:rPr>
          <w:sz w:val="24"/>
          <w:szCs w:val="24"/>
        </w:rPr>
        <w:t xml:space="preserve">million </w:t>
      </w:r>
      <w:r w:rsidRPr="0009718F">
        <w:rPr>
          <w:sz w:val="24"/>
          <w:szCs w:val="24"/>
          <w:lang w:val="en-US"/>
        </w:rPr>
        <w:t>against</w:t>
      </w:r>
      <w:r w:rsidR="00907E09" w:rsidRPr="0009718F">
        <w:rPr>
          <w:sz w:val="24"/>
          <w:szCs w:val="24"/>
          <w:lang w:val="en-US"/>
        </w:rPr>
        <w:t xml:space="preserve"> </w:t>
      </w:r>
      <w:r w:rsidRPr="0009718F">
        <w:rPr>
          <w:sz w:val="24"/>
          <w:szCs w:val="24"/>
          <w:lang w:val="en-US"/>
        </w:rPr>
        <w:t xml:space="preserve">the corresponding year financial quarter of </w:t>
      </w:r>
      <w:r w:rsidR="008166F3" w:rsidRPr="0009718F">
        <w:rPr>
          <w:sz w:val="24"/>
          <w:szCs w:val="24"/>
          <w:lang w:val="en-US"/>
        </w:rPr>
        <w:t>RM</w:t>
      </w:r>
      <w:r w:rsidR="0084457F" w:rsidRPr="0009718F">
        <w:rPr>
          <w:sz w:val="24"/>
          <w:szCs w:val="24"/>
          <w:lang w:val="en-US"/>
        </w:rPr>
        <w:t xml:space="preserve">16.37 </w:t>
      </w:r>
      <w:r w:rsidRPr="0009718F">
        <w:rPr>
          <w:sz w:val="24"/>
          <w:szCs w:val="24"/>
          <w:lang w:val="en-US"/>
        </w:rPr>
        <w:t xml:space="preserve">million. The </w:t>
      </w:r>
      <w:r w:rsidR="008F5A1F" w:rsidRPr="0009718F">
        <w:rPr>
          <w:sz w:val="24"/>
          <w:szCs w:val="24"/>
          <w:lang w:val="en-US"/>
        </w:rPr>
        <w:t xml:space="preserve">revenue </w:t>
      </w:r>
      <w:r w:rsidR="008166F3" w:rsidRPr="0009718F">
        <w:rPr>
          <w:sz w:val="24"/>
          <w:szCs w:val="24"/>
          <w:lang w:val="en-US"/>
        </w:rPr>
        <w:t xml:space="preserve">decrease </w:t>
      </w:r>
      <w:r w:rsidR="000269B5" w:rsidRPr="0009718F">
        <w:rPr>
          <w:sz w:val="24"/>
          <w:szCs w:val="24"/>
          <w:lang w:val="en-US"/>
        </w:rPr>
        <w:t>is</w:t>
      </w:r>
      <w:r w:rsidR="009E378E" w:rsidRPr="0009718F">
        <w:rPr>
          <w:sz w:val="24"/>
          <w:szCs w:val="24"/>
          <w:lang w:val="en-US"/>
        </w:rPr>
        <w:t xml:space="preserve"> due </w:t>
      </w:r>
      <w:r w:rsidR="00D8064B" w:rsidRPr="0009718F">
        <w:rPr>
          <w:sz w:val="24"/>
          <w:szCs w:val="24"/>
          <w:lang w:val="en-US"/>
        </w:rPr>
        <w:t xml:space="preserve">to </w:t>
      </w:r>
      <w:r w:rsidR="00A64AD7" w:rsidRPr="0009718F">
        <w:rPr>
          <w:sz w:val="24"/>
          <w:szCs w:val="24"/>
          <w:lang w:val="en-US"/>
        </w:rPr>
        <w:t>increase</w:t>
      </w:r>
      <w:r w:rsidR="0084457F" w:rsidRPr="0009718F">
        <w:rPr>
          <w:sz w:val="24"/>
          <w:szCs w:val="24"/>
          <w:lang w:val="en-US"/>
        </w:rPr>
        <w:t xml:space="preserve"> </w:t>
      </w:r>
      <w:r w:rsidR="00D8064B" w:rsidRPr="0009718F">
        <w:rPr>
          <w:sz w:val="24"/>
          <w:szCs w:val="24"/>
          <w:lang w:val="en-US"/>
        </w:rPr>
        <w:t xml:space="preserve">in revenue </w:t>
      </w:r>
      <w:r w:rsidR="00285A01" w:rsidRPr="0009718F">
        <w:rPr>
          <w:sz w:val="24"/>
          <w:szCs w:val="24"/>
          <w:lang w:val="en-US"/>
        </w:rPr>
        <w:t>by</w:t>
      </w:r>
      <w:r w:rsidR="00D8064B" w:rsidRPr="0009718F">
        <w:rPr>
          <w:sz w:val="24"/>
          <w:szCs w:val="24"/>
          <w:lang w:val="en-US"/>
        </w:rPr>
        <w:t xml:space="preserve"> the </w:t>
      </w:r>
      <w:r w:rsidR="009D2A54" w:rsidRPr="0009718F">
        <w:rPr>
          <w:sz w:val="24"/>
          <w:szCs w:val="24"/>
          <w:lang w:val="en-US"/>
        </w:rPr>
        <w:t>A</w:t>
      </w:r>
      <w:r w:rsidR="008F5A1F" w:rsidRPr="0009718F">
        <w:rPr>
          <w:sz w:val="24"/>
          <w:szCs w:val="24"/>
          <w:lang w:val="en-US"/>
        </w:rPr>
        <w:t xml:space="preserve">utomotive </w:t>
      </w:r>
      <w:r w:rsidR="00843FB6" w:rsidRPr="0009718F">
        <w:rPr>
          <w:sz w:val="24"/>
          <w:szCs w:val="24"/>
          <w:lang w:val="en-US"/>
        </w:rPr>
        <w:t>D</w:t>
      </w:r>
      <w:r w:rsidR="008F5A1F" w:rsidRPr="0009718F">
        <w:rPr>
          <w:sz w:val="24"/>
          <w:szCs w:val="24"/>
          <w:lang w:val="en-US"/>
        </w:rPr>
        <w:t>ivision</w:t>
      </w:r>
      <w:r w:rsidR="009D2A54" w:rsidRPr="0009718F">
        <w:rPr>
          <w:sz w:val="24"/>
          <w:szCs w:val="24"/>
          <w:lang w:val="en-US"/>
        </w:rPr>
        <w:t xml:space="preserve"> </w:t>
      </w:r>
      <w:r w:rsidR="009E378E" w:rsidRPr="0009718F">
        <w:rPr>
          <w:sz w:val="24"/>
          <w:szCs w:val="24"/>
          <w:lang w:val="en-US"/>
        </w:rPr>
        <w:t xml:space="preserve">by </w:t>
      </w:r>
      <w:r w:rsidR="00EA4BC0" w:rsidRPr="0009718F">
        <w:rPr>
          <w:sz w:val="24"/>
          <w:szCs w:val="24"/>
          <w:lang w:val="en-US"/>
        </w:rPr>
        <w:t>RM</w:t>
      </w:r>
      <w:r w:rsidR="0084457F" w:rsidRPr="0009718F">
        <w:rPr>
          <w:sz w:val="24"/>
          <w:szCs w:val="24"/>
          <w:lang w:val="en-US"/>
        </w:rPr>
        <w:t>3.50</w:t>
      </w:r>
      <w:r w:rsidR="00603739" w:rsidRPr="0009718F">
        <w:rPr>
          <w:sz w:val="24"/>
          <w:szCs w:val="24"/>
          <w:lang w:val="en-US"/>
        </w:rPr>
        <w:t xml:space="preserve"> </w:t>
      </w:r>
      <w:r w:rsidR="009E378E" w:rsidRPr="0009718F">
        <w:rPr>
          <w:sz w:val="24"/>
          <w:szCs w:val="24"/>
          <w:lang w:val="en-US"/>
        </w:rPr>
        <w:t>million</w:t>
      </w:r>
      <w:r w:rsidR="00046CAD" w:rsidRPr="0009718F">
        <w:rPr>
          <w:sz w:val="24"/>
          <w:szCs w:val="24"/>
          <w:lang w:val="en-US"/>
        </w:rPr>
        <w:t xml:space="preserve"> </w:t>
      </w:r>
      <w:r w:rsidR="00A253B2" w:rsidRPr="0009718F">
        <w:rPr>
          <w:sz w:val="24"/>
          <w:szCs w:val="24"/>
          <w:lang w:val="en-US"/>
        </w:rPr>
        <w:t>off</w:t>
      </w:r>
      <w:r w:rsidR="00603739" w:rsidRPr="0009718F">
        <w:rPr>
          <w:sz w:val="24"/>
          <w:szCs w:val="24"/>
          <w:lang w:val="en-US"/>
        </w:rPr>
        <w:t>-</w:t>
      </w:r>
      <w:r w:rsidR="00A253B2" w:rsidRPr="0009718F">
        <w:rPr>
          <w:sz w:val="24"/>
          <w:szCs w:val="24"/>
          <w:lang w:val="en-US"/>
        </w:rPr>
        <w:t xml:space="preserve">set by </w:t>
      </w:r>
      <w:r w:rsidR="003D4382" w:rsidRPr="0009718F">
        <w:rPr>
          <w:sz w:val="24"/>
          <w:szCs w:val="24"/>
          <w:lang w:val="en-US"/>
        </w:rPr>
        <w:t>a</w:t>
      </w:r>
      <w:r w:rsidR="00046CAD" w:rsidRPr="0009718F">
        <w:rPr>
          <w:sz w:val="24"/>
          <w:szCs w:val="24"/>
          <w:lang w:val="en-US"/>
        </w:rPr>
        <w:t xml:space="preserve"> </w:t>
      </w:r>
      <w:r w:rsidR="0084457F" w:rsidRPr="0009718F">
        <w:rPr>
          <w:sz w:val="24"/>
          <w:szCs w:val="24"/>
          <w:lang w:val="en-US"/>
        </w:rPr>
        <w:t xml:space="preserve">decrease </w:t>
      </w:r>
      <w:r w:rsidR="00046CAD" w:rsidRPr="0009718F">
        <w:rPr>
          <w:sz w:val="24"/>
          <w:szCs w:val="24"/>
          <w:lang w:val="en-US"/>
        </w:rPr>
        <w:t xml:space="preserve">in revenue of the Property Development Division by </w:t>
      </w:r>
      <w:r w:rsidR="00A253B2" w:rsidRPr="0009718F">
        <w:rPr>
          <w:sz w:val="24"/>
          <w:szCs w:val="24"/>
          <w:lang w:val="en-US"/>
        </w:rPr>
        <w:t>RM</w:t>
      </w:r>
      <w:r w:rsidR="00603739" w:rsidRPr="0009718F">
        <w:rPr>
          <w:sz w:val="24"/>
          <w:szCs w:val="24"/>
          <w:lang w:val="en-US"/>
        </w:rPr>
        <w:t>1</w:t>
      </w:r>
      <w:r w:rsidR="0084457F" w:rsidRPr="0009718F">
        <w:rPr>
          <w:sz w:val="24"/>
          <w:szCs w:val="24"/>
          <w:lang w:val="en-US"/>
        </w:rPr>
        <w:t xml:space="preserve">.38 </w:t>
      </w:r>
      <w:r w:rsidR="00046CAD" w:rsidRPr="0009718F">
        <w:rPr>
          <w:sz w:val="24"/>
          <w:szCs w:val="24"/>
          <w:lang w:val="en-US"/>
        </w:rPr>
        <w:t>million</w:t>
      </w:r>
      <w:r w:rsidR="009E378E" w:rsidRPr="0009718F">
        <w:rPr>
          <w:sz w:val="24"/>
          <w:szCs w:val="24"/>
          <w:lang w:val="en-US"/>
        </w:rPr>
        <w:t xml:space="preserve">. </w:t>
      </w:r>
    </w:p>
    <w:p w14:paraId="0965746F" w14:textId="77777777" w:rsidR="009E378E" w:rsidRPr="0009718F" w:rsidRDefault="009E378E" w:rsidP="009E378E">
      <w:pPr>
        <w:pStyle w:val="BodyTextIndent"/>
        <w:ind w:left="720" w:right="-288"/>
        <w:rPr>
          <w:sz w:val="24"/>
          <w:szCs w:val="24"/>
          <w:lang w:val="en-US"/>
        </w:rPr>
      </w:pPr>
    </w:p>
    <w:p w14:paraId="143073F5" w14:textId="60C84010" w:rsidR="0047745A" w:rsidRPr="0009718F" w:rsidRDefault="00A31F11" w:rsidP="0047745A">
      <w:pPr>
        <w:pStyle w:val="BodyTextIndent"/>
        <w:ind w:left="720" w:right="-288"/>
        <w:rPr>
          <w:sz w:val="24"/>
          <w:szCs w:val="24"/>
          <w:lang w:val="en-US"/>
        </w:rPr>
      </w:pPr>
      <w:r w:rsidRPr="0009718F">
        <w:rPr>
          <w:sz w:val="24"/>
          <w:szCs w:val="24"/>
          <w:lang w:val="en-US"/>
        </w:rPr>
        <w:t xml:space="preserve">The Group registered a pre-tax </w:t>
      </w:r>
      <w:r w:rsidR="00B25628" w:rsidRPr="0009718F">
        <w:rPr>
          <w:sz w:val="24"/>
          <w:szCs w:val="24"/>
          <w:lang w:val="en-US"/>
        </w:rPr>
        <w:t>loss</w:t>
      </w:r>
      <w:r w:rsidRPr="0009718F">
        <w:rPr>
          <w:sz w:val="24"/>
          <w:szCs w:val="24"/>
          <w:lang w:val="en-US"/>
        </w:rPr>
        <w:t xml:space="preserve"> of </w:t>
      </w:r>
      <w:r w:rsidR="00A7741C" w:rsidRPr="0009718F">
        <w:rPr>
          <w:sz w:val="24"/>
          <w:szCs w:val="24"/>
          <w:lang w:val="en-US"/>
        </w:rPr>
        <w:t>RM</w:t>
      </w:r>
      <w:r w:rsidR="0084457F" w:rsidRPr="0009718F">
        <w:rPr>
          <w:sz w:val="24"/>
          <w:szCs w:val="24"/>
          <w:lang w:val="en-US"/>
        </w:rPr>
        <w:t>2.30</w:t>
      </w:r>
      <w:r w:rsidR="006250B5" w:rsidRPr="0009718F">
        <w:rPr>
          <w:sz w:val="24"/>
          <w:szCs w:val="24"/>
          <w:lang w:val="en-US"/>
        </w:rPr>
        <w:t xml:space="preserve"> </w:t>
      </w:r>
      <w:r w:rsidR="00B25628" w:rsidRPr="0009718F">
        <w:rPr>
          <w:sz w:val="24"/>
          <w:szCs w:val="24"/>
          <w:lang w:val="en-US"/>
        </w:rPr>
        <w:t>million</w:t>
      </w:r>
      <w:r w:rsidR="00A82C91" w:rsidRPr="0009718F">
        <w:rPr>
          <w:sz w:val="24"/>
          <w:szCs w:val="24"/>
          <w:lang w:val="en-US"/>
        </w:rPr>
        <w:t xml:space="preserve"> </w:t>
      </w:r>
      <w:r w:rsidRPr="0009718F">
        <w:rPr>
          <w:sz w:val="24"/>
          <w:szCs w:val="24"/>
          <w:lang w:val="en-US"/>
        </w:rPr>
        <w:t>for the current quarter against the corresponding year financial quarter pre-</w:t>
      </w:r>
      <w:r w:rsidR="00D8064B" w:rsidRPr="0009718F">
        <w:rPr>
          <w:sz w:val="24"/>
          <w:szCs w:val="24"/>
          <w:lang w:val="en-US"/>
        </w:rPr>
        <w:t xml:space="preserve">tax </w:t>
      </w:r>
      <w:r w:rsidR="00046CAD" w:rsidRPr="0009718F">
        <w:rPr>
          <w:sz w:val="24"/>
          <w:szCs w:val="24"/>
          <w:lang w:val="en-US"/>
        </w:rPr>
        <w:t>loss</w:t>
      </w:r>
      <w:r w:rsidRPr="0009718F">
        <w:rPr>
          <w:sz w:val="24"/>
          <w:szCs w:val="24"/>
          <w:lang w:val="en-US"/>
        </w:rPr>
        <w:t xml:space="preserve"> of </w:t>
      </w:r>
      <w:r w:rsidR="00467561" w:rsidRPr="0009718F">
        <w:rPr>
          <w:sz w:val="24"/>
          <w:szCs w:val="24"/>
          <w:lang w:val="en-US"/>
        </w:rPr>
        <w:t>RM1.</w:t>
      </w:r>
      <w:r w:rsidR="0084457F" w:rsidRPr="0009718F">
        <w:rPr>
          <w:sz w:val="24"/>
          <w:szCs w:val="24"/>
          <w:lang w:val="en-US"/>
        </w:rPr>
        <w:t xml:space="preserve">23 </w:t>
      </w:r>
      <w:r w:rsidR="00046CAD" w:rsidRPr="0009718F">
        <w:rPr>
          <w:sz w:val="24"/>
          <w:szCs w:val="24"/>
          <w:lang w:val="en-US"/>
        </w:rPr>
        <w:t>million</w:t>
      </w:r>
      <w:r w:rsidR="00FD06F4" w:rsidRPr="0009718F">
        <w:rPr>
          <w:sz w:val="24"/>
          <w:szCs w:val="24"/>
          <w:lang w:val="en-US"/>
        </w:rPr>
        <w:t>.</w:t>
      </w:r>
      <w:r w:rsidRPr="0009718F">
        <w:rPr>
          <w:sz w:val="24"/>
          <w:szCs w:val="24"/>
          <w:lang w:val="en-US"/>
        </w:rPr>
        <w:t xml:space="preserve"> The Group’s</w:t>
      </w:r>
      <w:r w:rsidR="006E25E7" w:rsidRPr="0009718F">
        <w:rPr>
          <w:sz w:val="24"/>
          <w:szCs w:val="24"/>
          <w:lang w:val="en-US"/>
        </w:rPr>
        <w:t xml:space="preserve"> </w:t>
      </w:r>
      <w:r w:rsidRPr="0009718F">
        <w:rPr>
          <w:sz w:val="24"/>
          <w:szCs w:val="24"/>
          <w:lang w:val="en-US"/>
        </w:rPr>
        <w:t>pre-tax</w:t>
      </w:r>
      <w:r w:rsidR="00FD06F4" w:rsidRPr="0009718F">
        <w:rPr>
          <w:sz w:val="24"/>
          <w:szCs w:val="24"/>
          <w:lang w:val="en-US"/>
        </w:rPr>
        <w:t xml:space="preserve"> </w:t>
      </w:r>
      <w:r w:rsidR="00A82C91" w:rsidRPr="0009718F">
        <w:rPr>
          <w:sz w:val="24"/>
          <w:szCs w:val="24"/>
          <w:lang w:val="en-US"/>
        </w:rPr>
        <w:t>loss</w:t>
      </w:r>
      <w:r w:rsidRPr="0009718F">
        <w:rPr>
          <w:sz w:val="24"/>
          <w:szCs w:val="24"/>
          <w:lang w:val="en-US"/>
        </w:rPr>
        <w:t xml:space="preserve"> was</w:t>
      </w:r>
      <w:r w:rsidR="00FD06F4" w:rsidRPr="0009718F">
        <w:rPr>
          <w:sz w:val="24"/>
          <w:szCs w:val="24"/>
          <w:lang w:val="en-US"/>
        </w:rPr>
        <w:t xml:space="preserve"> mainly attributed </w:t>
      </w:r>
      <w:r w:rsidR="00285A01" w:rsidRPr="0009718F">
        <w:rPr>
          <w:sz w:val="24"/>
          <w:szCs w:val="24"/>
          <w:lang w:val="en-US"/>
        </w:rPr>
        <w:t>to</w:t>
      </w:r>
      <w:r w:rsidR="00FD06F4" w:rsidRPr="0009718F">
        <w:rPr>
          <w:sz w:val="24"/>
          <w:szCs w:val="24"/>
          <w:lang w:val="en-US"/>
        </w:rPr>
        <w:t xml:space="preserve"> the </w:t>
      </w:r>
      <w:r w:rsidR="00973E9C" w:rsidRPr="0009718F">
        <w:rPr>
          <w:sz w:val="24"/>
          <w:szCs w:val="24"/>
          <w:lang w:val="en-US"/>
        </w:rPr>
        <w:t xml:space="preserve">pre-tax </w:t>
      </w:r>
      <w:r w:rsidR="00894096" w:rsidRPr="0009718F">
        <w:rPr>
          <w:sz w:val="24"/>
          <w:szCs w:val="24"/>
          <w:lang w:val="en-US"/>
        </w:rPr>
        <w:t>loss</w:t>
      </w:r>
      <w:r w:rsidR="00973E9C" w:rsidRPr="0009718F">
        <w:rPr>
          <w:sz w:val="24"/>
          <w:szCs w:val="24"/>
          <w:lang w:val="en-US"/>
        </w:rPr>
        <w:t xml:space="preserve"> </w:t>
      </w:r>
      <w:r w:rsidR="00A87A9B" w:rsidRPr="0009718F">
        <w:rPr>
          <w:sz w:val="24"/>
          <w:szCs w:val="24"/>
          <w:lang w:val="en-US"/>
        </w:rPr>
        <w:t>from</w:t>
      </w:r>
      <w:r w:rsidR="00973E9C" w:rsidRPr="0009718F">
        <w:rPr>
          <w:sz w:val="24"/>
          <w:szCs w:val="24"/>
          <w:lang w:val="en-US"/>
        </w:rPr>
        <w:t xml:space="preserve"> </w:t>
      </w:r>
      <w:r w:rsidR="00B308FF" w:rsidRPr="0009718F">
        <w:rPr>
          <w:sz w:val="24"/>
          <w:szCs w:val="24"/>
          <w:lang w:val="en-US"/>
        </w:rPr>
        <w:t xml:space="preserve">the </w:t>
      </w:r>
      <w:r w:rsidR="00FD06F4" w:rsidRPr="0009718F">
        <w:rPr>
          <w:sz w:val="24"/>
          <w:szCs w:val="24"/>
          <w:lang w:val="en-US"/>
        </w:rPr>
        <w:t xml:space="preserve">Property Development Division </w:t>
      </w:r>
      <w:r w:rsidR="00973E9C" w:rsidRPr="0009718F">
        <w:rPr>
          <w:sz w:val="24"/>
          <w:szCs w:val="24"/>
          <w:lang w:val="en-US"/>
        </w:rPr>
        <w:t xml:space="preserve">of </w:t>
      </w:r>
      <w:r w:rsidR="0084457F" w:rsidRPr="0009718F">
        <w:rPr>
          <w:sz w:val="24"/>
          <w:szCs w:val="24"/>
          <w:lang w:val="en-US"/>
        </w:rPr>
        <w:t>RM745</w:t>
      </w:r>
      <w:r w:rsidR="00A21976" w:rsidRPr="0009718F">
        <w:rPr>
          <w:sz w:val="24"/>
          <w:szCs w:val="24"/>
          <w:lang w:val="en-US"/>
        </w:rPr>
        <w:t>,000</w:t>
      </w:r>
      <w:r w:rsidR="00603739" w:rsidRPr="0009718F">
        <w:rPr>
          <w:sz w:val="24"/>
          <w:szCs w:val="24"/>
          <w:lang w:val="en-US"/>
        </w:rPr>
        <w:t xml:space="preserve"> </w:t>
      </w:r>
      <w:r w:rsidR="001B65E2" w:rsidRPr="0009718F">
        <w:rPr>
          <w:sz w:val="24"/>
          <w:szCs w:val="24"/>
          <w:lang w:val="en-US"/>
        </w:rPr>
        <w:t>against</w:t>
      </w:r>
      <w:r w:rsidR="00894096" w:rsidRPr="0009718F">
        <w:rPr>
          <w:sz w:val="24"/>
          <w:szCs w:val="24"/>
          <w:lang w:val="en-US"/>
        </w:rPr>
        <w:t xml:space="preserve"> pre-tax </w:t>
      </w:r>
      <w:r w:rsidR="00046CAD" w:rsidRPr="0009718F">
        <w:rPr>
          <w:sz w:val="24"/>
          <w:szCs w:val="24"/>
          <w:lang w:val="en-US"/>
        </w:rPr>
        <w:t>loss</w:t>
      </w:r>
      <w:r w:rsidR="00894096" w:rsidRPr="0009718F">
        <w:rPr>
          <w:sz w:val="24"/>
          <w:szCs w:val="24"/>
          <w:lang w:val="en-US"/>
        </w:rPr>
        <w:t xml:space="preserve"> of</w:t>
      </w:r>
      <w:r w:rsidR="001B65E2" w:rsidRPr="0009718F">
        <w:rPr>
          <w:sz w:val="24"/>
          <w:szCs w:val="24"/>
          <w:lang w:val="en-US"/>
        </w:rPr>
        <w:t xml:space="preserve"> </w:t>
      </w:r>
      <w:r w:rsidR="0084457F" w:rsidRPr="0009718F">
        <w:rPr>
          <w:sz w:val="24"/>
          <w:szCs w:val="24"/>
          <w:lang w:val="en-US"/>
        </w:rPr>
        <w:t>RM334</w:t>
      </w:r>
      <w:r w:rsidR="000B076D" w:rsidRPr="0009718F">
        <w:rPr>
          <w:sz w:val="24"/>
          <w:szCs w:val="24"/>
          <w:lang w:val="en-US"/>
        </w:rPr>
        <w:t xml:space="preserve">,000 </w:t>
      </w:r>
      <w:r w:rsidR="001B65E2" w:rsidRPr="0009718F">
        <w:rPr>
          <w:sz w:val="24"/>
          <w:szCs w:val="24"/>
          <w:lang w:val="en-US"/>
        </w:rPr>
        <w:t>in the corresponding quarter</w:t>
      </w:r>
      <w:r w:rsidR="00285A01" w:rsidRPr="0009718F">
        <w:rPr>
          <w:sz w:val="24"/>
          <w:szCs w:val="24"/>
          <w:lang w:val="en-US"/>
        </w:rPr>
        <w:t>,</w:t>
      </w:r>
      <w:r w:rsidR="001B65E2" w:rsidRPr="0009718F">
        <w:rPr>
          <w:sz w:val="24"/>
          <w:szCs w:val="24"/>
          <w:lang w:val="en-US"/>
        </w:rPr>
        <w:t xml:space="preserve"> </w:t>
      </w:r>
      <w:r w:rsidR="00285A01" w:rsidRPr="0009718F">
        <w:rPr>
          <w:sz w:val="24"/>
          <w:szCs w:val="24"/>
          <w:lang w:val="en-US"/>
        </w:rPr>
        <w:t>and</w:t>
      </w:r>
      <w:r w:rsidR="001B65E2" w:rsidRPr="0009718F">
        <w:rPr>
          <w:sz w:val="24"/>
          <w:szCs w:val="24"/>
          <w:lang w:val="en-US"/>
        </w:rPr>
        <w:t xml:space="preserve"> </w:t>
      </w:r>
      <w:r w:rsidR="00973E9C" w:rsidRPr="0009718F">
        <w:rPr>
          <w:sz w:val="24"/>
          <w:szCs w:val="24"/>
          <w:lang w:val="en-US"/>
        </w:rPr>
        <w:t xml:space="preserve">pre-tax </w:t>
      </w:r>
      <w:r w:rsidR="00F81363" w:rsidRPr="0009718F">
        <w:rPr>
          <w:sz w:val="24"/>
          <w:szCs w:val="24"/>
          <w:lang w:val="en-US"/>
        </w:rPr>
        <w:t>loss</w:t>
      </w:r>
      <w:r w:rsidR="00973E9C" w:rsidRPr="0009718F">
        <w:rPr>
          <w:sz w:val="24"/>
          <w:szCs w:val="24"/>
          <w:lang w:val="en-US"/>
        </w:rPr>
        <w:t xml:space="preserve"> </w:t>
      </w:r>
      <w:r w:rsidR="00285A01" w:rsidRPr="0009718F">
        <w:rPr>
          <w:sz w:val="24"/>
          <w:szCs w:val="24"/>
          <w:lang w:val="en-US"/>
        </w:rPr>
        <w:t>of the</w:t>
      </w:r>
      <w:r w:rsidR="00973E9C" w:rsidRPr="0009718F">
        <w:rPr>
          <w:sz w:val="24"/>
          <w:szCs w:val="24"/>
          <w:lang w:val="en-US"/>
        </w:rPr>
        <w:t xml:space="preserve"> Automo</w:t>
      </w:r>
      <w:r w:rsidR="00BE0C32" w:rsidRPr="0009718F">
        <w:rPr>
          <w:sz w:val="24"/>
          <w:szCs w:val="24"/>
          <w:lang w:val="en-US"/>
        </w:rPr>
        <w:t>tive</w:t>
      </w:r>
      <w:r w:rsidR="00973E9C" w:rsidRPr="0009718F">
        <w:rPr>
          <w:sz w:val="24"/>
          <w:szCs w:val="24"/>
          <w:lang w:val="en-US"/>
        </w:rPr>
        <w:t xml:space="preserve"> Division of </w:t>
      </w:r>
      <w:r w:rsidR="00A7741C" w:rsidRPr="0009718F">
        <w:rPr>
          <w:sz w:val="24"/>
          <w:szCs w:val="24"/>
          <w:lang w:val="en-US"/>
        </w:rPr>
        <w:t>RM</w:t>
      </w:r>
      <w:r w:rsidR="0084457F" w:rsidRPr="0009718F">
        <w:rPr>
          <w:sz w:val="24"/>
          <w:szCs w:val="24"/>
          <w:lang w:val="en-US"/>
        </w:rPr>
        <w:t xml:space="preserve">1.00 million </w:t>
      </w:r>
      <w:r w:rsidR="00973E9C" w:rsidRPr="0009718F">
        <w:rPr>
          <w:sz w:val="24"/>
          <w:szCs w:val="24"/>
          <w:lang w:val="en-US"/>
        </w:rPr>
        <w:t xml:space="preserve">in the current quarter against </w:t>
      </w:r>
      <w:r w:rsidR="001D5494" w:rsidRPr="0009718F">
        <w:rPr>
          <w:sz w:val="24"/>
          <w:szCs w:val="24"/>
          <w:lang w:val="en-US"/>
        </w:rPr>
        <w:t xml:space="preserve">pre-tax </w:t>
      </w:r>
      <w:r w:rsidR="00E02F48">
        <w:rPr>
          <w:sz w:val="24"/>
          <w:szCs w:val="24"/>
          <w:lang w:val="en-US"/>
        </w:rPr>
        <w:t>loss</w:t>
      </w:r>
      <w:r w:rsidR="00E02F48" w:rsidRPr="0009718F">
        <w:rPr>
          <w:sz w:val="24"/>
          <w:szCs w:val="24"/>
          <w:lang w:val="en-US"/>
        </w:rPr>
        <w:t xml:space="preserve"> </w:t>
      </w:r>
      <w:r w:rsidR="00A7741C" w:rsidRPr="0009718F">
        <w:rPr>
          <w:sz w:val="24"/>
          <w:szCs w:val="24"/>
          <w:lang w:val="en-US"/>
        </w:rPr>
        <w:t xml:space="preserve">of </w:t>
      </w:r>
      <w:r w:rsidR="0084457F" w:rsidRPr="0009718F">
        <w:rPr>
          <w:sz w:val="24"/>
          <w:szCs w:val="24"/>
          <w:lang w:val="en-US"/>
        </w:rPr>
        <w:t>RM306</w:t>
      </w:r>
      <w:r w:rsidR="000B076D" w:rsidRPr="0009718F">
        <w:rPr>
          <w:sz w:val="24"/>
          <w:szCs w:val="24"/>
          <w:lang w:val="en-US"/>
        </w:rPr>
        <w:t xml:space="preserve">,000 </w:t>
      </w:r>
      <w:r w:rsidR="00973E9C" w:rsidRPr="0009718F">
        <w:rPr>
          <w:sz w:val="24"/>
          <w:szCs w:val="24"/>
          <w:lang w:val="en-US"/>
        </w:rPr>
        <w:t>in the corresponding quarter.</w:t>
      </w:r>
      <w:r w:rsidR="00F450C1" w:rsidRPr="0009718F">
        <w:rPr>
          <w:sz w:val="24"/>
          <w:szCs w:val="24"/>
          <w:lang w:val="en-US"/>
        </w:rPr>
        <w:t xml:space="preserve"> </w:t>
      </w:r>
    </w:p>
    <w:p w14:paraId="5FAD2C01" w14:textId="77777777" w:rsidR="00DC502A" w:rsidRDefault="00DC502A" w:rsidP="00DC502A">
      <w:pPr>
        <w:pStyle w:val="BodyTextIndent"/>
        <w:ind w:left="720" w:right="-288"/>
        <w:rPr>
          <w:sz w:val="24"/>
          <w:szCs w:val="24"/>
          <w:lang w:val="en-US"/>
        </w:rPr>
      </w:pPr>
    </w:p>
    <w:p w14:paraId="117DFC0E" w14:textId="61F31D29" w:rsidR="00DC502A" w:rsidRPr="0009718F" w:rsidRDefault="00DC502A" w:rsidP="00DC502A">
      <w:pPr>
        <w:pStyle w:val="BodyTextIndent"/>
        <w:ind w:left="720" w:right="-288"/>
        <w:rPr>
          <w:sz w:val="24"/>
          <w:szCs w:val="24"/>
          <w:lang w:val="en-US"/>
        </w:rPr>
      </w:pPr>
      <w:r>
        <w:rPr>
          <w:sz w:val="24"/>
          <w:szCs w:val="24"/>
          <w:lang w:val="en-US"/>
        </w:rPr>
        <w:t xml:space="preserve">In the Automotive Division for the current quarter, the vehicle sales increased and had achieved 2 monthly and the quarterly sales targets for one of the brands, </w:t>
      </w:r>
      <w:r w:rsidR="005E6166">
        <w:rPr>
          <w:sz w:val="24"/>
          <w:szCs w:val="24"/>
          <w:lang w:val="en-US"/>
        </w:rPr>
        <w:t>which increased the Group’s revenue. Also, this enabled the Division to receive</w:t>
      </w:r>
      <w:r>
        <w:rPr>
          <w:sz w:val="24"/>
          <w:szCs w:val="24"/>
          <w:lang w:val="en-US"/>
        </w:rPr>
        <w:t xml:space="preserve"> the incentives from the principal</w:t>
      </w:r>
      <w:r w:rsidR="005E6166">
        <w:rPr>
          <w:sz w:val="24"/>
          <w:szCs w:val="24"/>
          <w:lang w:val="en-US"/>
        </w:rPr>
        <w:t xml:space="preserve"> for the current quarter</w:t>
      </w:r>
      <w:r>
        <w:rPr>
          <w:sz w:val="24"/>
          <w:szCs w:val="24"/>
          <w:lang w:val="en-US"/>
        </w:rPr>
        <w:t xml:space="preserve">. </w:t>
      </w:r>
      <w:r w:rsidR="005E6166">
        <w:rPr>
          <w:sz w:val="24"/>
          <w:szCs w:val="24"/>
          <w:lang w:val="en-US"/>
        </w:rPr>
        <w:t>However</w:t>
      </w:r>
      <w:r>
        <w:rPr>
          <w:sz w:val="24"/>
          <w:szCs w:val="24"/>
          <w:lang w:val="en-US"/>
        </w:rPr>
        <w:t xml:space="preserve">, there were warranty charge back and rejections which </w:t>
      </w:r>
      <w:r w:rsidR="005E6166">
        <w:rPr>
          <w:sz w:val="24"/>
          <w:szCs w:val="24"/>
          <w:lang w:val="en-US"/>
        </w:rPr>
        <w:t>deteriorated</w:t>
      </w:r>
      <w:r>
        <w:rPr>
          <w:sz w:val="24"/>
          <w:szCs w:val="24"/>
          <w:lang w:val="en-US"/>
        </w:rPr>
        <w:t xml:space="preserve"> the performance of the Automotive Division. </w:t>
      </w:r>
      <w:r w:rsidR="005E6166">
        <w:rPr>
          <w:sz w:val="24"/>
          <w:szCs w:val="24"/>
          <w:lang w:val="en-US"/>
        </w:rPr>
        <w:t>In addition</w:t>
      </w:r>
      <w:r>
        <w:rPr>
          <w:sz w:val="24"/>
          <w:szCs w:val="24"/>
          <w:lang w:val="en-US"/>
        </w:rPr>
        <w:t xml:space="preserve">, </w:t>
      </w:r>
      <w:r w:rsidR="005E6166">
        <w:rPr>
          <w:sz w:val="24"/>
          <w:szCs w:val="24"/>
          <w:lang w:val="en-US"/>
        </w:rPr>
        <w:t xml:space="preserve">the Group’s performance was affected by </w:t>
      </w:r>
      <w:r>
        <w:rPr>
          <w:sz w:val="24"/>
          <w:szCs w:val="24"/>
          <w:lang w:val="en-US"/>
        </w:rPr>
        <w:t xml:space="preserve">the Property Division </w:t>
      </w:r>
      <w:r w:rsidR="005E6166">
        <w:rPr>
          <w:sz w:val="24"/>
          <w:szCs w:val="24"/>
          <w:lang w:val="en-US"/>
        </w:rPr>
        <w:t>sales of</w:t>
      </w:r>
      <w:r>
        <w:rPr>
          <w:sz w:val="24"/>
          <w:szCs w:val="24"/>
          <w:lang w:val="en-US"/>
        </w:rPr>
        <w:t xml:space="preserve"> 1 unit of residential property compared to 3 units in the corresponding year financial quarter.</w:t>
      </w:r>
    </w:p>
    <w:p w14:paraId="21DD493C" w14:textId="77777777" w:rsidR="00F81363" w:rsidRPr="0009718F" w:rsidRDefault="00F81363" w:rsidP="00F81363">
      <w:pPr>
        <w:pStyle w:val="BodyTextIndent"/>
        <w:ind w:right="-288"/>
        <w:rPr>
          <w:sz w:val="24"/>
          <w:szCs w:val="24"/>
          <w:lang w:val="en-US"/>
        </w:rPr>
      </w:pPr>
    </w:p>
    <w:bookmarkEnd w:id="17"/>
    <w:p w14:paraId="715880DD" w14:textId="7F5DED9B" w:rsidR="00033271" w:rsidRDefault="00033271" w:rsidP="00033271">
      <w:pPr>
        <w:pStyle w:val="BodyTextIndent"/>
        <w:numPr>
          <w:ilvl w:val="0"/>
          <w:numId w:val="9"/>
        </w:numPr>
        <w:ind w:right="-288"/>
        <w:rPr>
          <w:sz w:val="24"/>
          <w:szCs w:val="24"/>
          <w:lang w:val="en-US"/>
        </w:rPr>
      </w:pPr>
      <w:r w:rsidRPr="0009718F">
        <w:rPr>
          <w:sz w:val="24"/>
          <w:szCs w:val="24"/>
        </w:rPr>
        <w:t>The Group recorded revenue of RM</w:t>
      </w:r>
      <w:r w:rsidR="0084457F" w:rsidRPr="0009718F">
        <w:rPr>
          <w:sz w:val="24"/>
          <w:szCs w:val="24"/>
          <w:lang w:val="en-MY"/>
        </w:rPr>
        <w:t xml:space="preserve">50.20 </w:t>
      </w:r>
      <w:r w:rsidRPr="0009718F">
        <w:rPr>
          <w:sz w:val="24"/>
          <w:szCs w:val="24"/>
        </w:rPr>
        <w:t>million and a pre-tax loss of RM</w:t>
      </w:r>
      <w:r w:rsidR="0084457F" w:rsidRPr="0009718F">
        <w:rPr>
          <w:sz w:val="24"/>
          <w:szCs w:val="24"/>
          <w:lang w:val="en-MY"/>
        </w:rPr>
        <w:t>6.1</w:t>
      </w:r>
      <w:r w:rsidR="00D248E1">
        <w:rPr>
          <w:sz w:val="24"/>
          <w:szCs w:val="24"/>
          <w:lang w:val="en-MY"/>
        </w:rPr>
        <w:t>6</w:t>
      </w:r>
      <w:r w:rsidR="0084457F" w:rsidRPr="0009718F">
        <w:rPr>
          <w:sz w:val="24"/>
          <w:szCs w:val="24"/>
          <w:lang w:val="en-MY"/>
        </w:rPr>
        <w:t xml:space="preserve"> </w:t>
      </w:r>
      <w:r w:rsidRPr="0009718F">
        <w:rPr>
          <w:sz w:val="24"/>
          <w:szCs w:val="24"/>
        </w:rPr>
        <w:t xml:space="preserve">million for the period ended 30th </w:t>
      </w:r>
      <w:r w:rsidR="001D7CF9" w:rsidRPr="0009718F">
        <w:rPr>
          <w:sz w:val="24"/>
          <w:szCs w:val="24"/>
        </w:rPr>
        <w:t>September</w:t>
      </w:r>
      <w:r w:rsidRPr="0009718F">
        <w:rPr>
          <w:sz w:val="24"/>
          <w:szCs w:val="24"/>
        </w:rPr>
        <w:t xml:space="preserve"> 201</w:t>
      </w:r>
      <w:r w:rsidRPr="0009718F">
        <w:rPr>
          <w:sz w:val="24"/>
          <w:szCs w:val="24"/>
          <w:lang w:val="en-MY"/>
        </w:rPr>
        <w:t>7</w:t>
      </w:r>
      <w:r w:rsidRPr="0009718F">
        <w:rPr>
          <w:sz w:val="24"/>
          <w:szCs w:val="24"/>
        </w:rPr>
        <w:t xml:space="preserve"> against revenue of RM</w:t>
      </w:r>
      <w:r w:rsidR="0084457F" w:rsidRPr="0009718F">
        <w:rPr>
          <w:sz w:val="24"/>
          <w:szCs w:val="24"/>
          <w:lang w:val="en-MY"/>
        </w:rPr>
        <w:t xml:space="preserve">58.68 </w:t>
      </w:r>
      <w:r w:rsidRPr="0009718F">
        <w:rPr>
          <w:sz w:val="24"/>
          <w:szCs w:val="24"/>
        </w:rPr>
        <w:t>million and pre-tax loss of RM</w:t>
      </w:r>
      <w:r w:rsidR="0084457F" w:rsidRPr="0009718F">
        <w:rPr>
          <w:sz w:val="24"/>
          <w:szCs w:val="24"/>
          <w:lang w:val="en-MY"/>
        </w:rPr>
        <w:t>3.79</w:t>
      </w:r>
      <w:r w:rsidRPr="0009718F">
        <w:rPr>
          <w:sz w:val="24"/>
          <w:szCs w:val="24"/>
        </w:rPr>
        <w:t xml:space="preserve">million in the corresponding period ended 30th </w:t>
      </w:r>
      <w:r w:rsidR="001D7CF9" w:rsidRPr="0009718F">
        <w:rPr>
          <w:sz w:val="24"/>
          <w:szCs w:val="24"/>
        </w:rPr>
        <w:t>September</w:t>
      </w:r>
      <w:r w:rsidRPr="0009718F">
        <w:rPr>
          <w:sz w:val="24"/>
          <w:szCs w:val="24"/>
        </w:rPr>
        <w:t xml:space="preserve"> 201</w:t>
      </w:r>
      <w:r w:rsidRPr="0009718F">
        <w:rPr>
          <w:sz w:val="24"/>
          <w:szCs w:val="24"/>
          <w:lang w:val="en-MY"/>
        </w:rPr>
        <w:t>6</w:t>
      </w:r>
      <w:r w:rsidRPr="0009718F">
        <w:rPr>
          <w:sz w:val="24"/>
          <w:szCs w:val="24"/>
        </w:rPr>
        <w:t xml:space="preserve">. The Group’s loss before taxation for the period ended 30th </w:t>
      </w:r>
      <w:r w:rsidR="001D7CF9" w:rsidRPr="0009718F">
        <w:rPr>
          <w:sz w:val="24"/>
          <w:szCs w:val="24"/>
        </w:rPr>
        <w:t>September</w:t>
      </w:r>
      <w:r w:rsidRPr="0009718F">
        <w:rPr>
          <w:sz w:val="24"/>
          <w:szCs w:val="24"/>
        </w:rPr>
        <w:t xml:space="preserve"> 201</w:t>
      </w:r>
      <w:r w:rsidRPr="0009718F">
        <w:rPr>
          <w:sz w:val="24"/>
          <w:szCs w:val="24"/>
          <w:lang w:val="en-MY"/>
        </w:rPr>
        <w:t>7</w:t>
      </w:r>
      <w:r w:rsidRPr="0009718F">
        <w:rPr>
          <w:sz w:val="24"/>
          <w:szCs w:val="24"/>
        </w:rPr>
        <w:t xml:space="preserve"> of RM</w:t>
      </w:r>
      <w:r w:rsidR="0084457F" w:rsidRPr="0009718F">
        <w:rPr>
          <w:sz w:val="24"/>
          <w:szCs w:val="24"/>
          <w:lang w:val="en-MY"/>
        </w:rPr>
        <w:t xml:space="preserve">6.10 </w:t>
      </w:r>
      <w:r w:rsidRPr="0009718F">
        <w:rPr>
          <w:sz w:val="24"/>
          <w:szCs w:val="24"/>
        </w:rPr>
        <w:t>million was mainly attributed to the pre-tax loss of the Property Development Division of RM</w:t>
      </w:r>
      <w:r w:rsidR="0084457F" w:rsidRPr="0009718F">
        <w:rPr>
          <w:sz w:val="24"/>
          <w:szCs w:val="24"/>
          <w:lang w:val="en-MY"/>
        </w:rPr>
        <w:t xml:space="preserve">1.69 million </w:t>
      </w:r>
      <w:r w:rsidRPr="0009718F">
        <w:rPr>
          <w:sz w:val="24"/>
          <w:szCs w:val="24"/>
          <w:lang w:val="en-MY"/>
        </w:rPr>
        <w:t>and the Automotive Division pre-tax loss of RM</w:t>
      </w:r>
      <w:r w:rsidR="0084457F" w:rsidRPr="0009718F">
        <w:rPr>
          <w:sz w:val="24"/>
          <w:szCs w:val="24"/>
          <w:lang w:val="en-MY"/>
        </w:rPr>
        <w:t>2</w:t>
      </w:r>
      <w:r w:rsidRPr="0009718F">
        <w:rPr>
          <w:sz w:val="24"/>
          <w:szCs w:val="24"/>
          <w:lang w:val="en-MY"/>
        </w:rPr>
        <w:t>.49 million</w:t>
      </w:r>
      <w:r w:rsidRPr="0009718F">
        <w:rPr>
          <w:sz w:val="24"/>
          <w:szCs w:val="24"/>
        </w:rPr>
        <w:t>. The Company pre-tax loss of RM</w:t>
      </w:r>
      <w:r w:rsidR="0084457F" w:rsidRPr="0009718F">
        <w:rPr>
          <w:sz w:val="24"/>
          <w:szCs w:val="24"/>
          <w:lang w:val="en-MY"/>
        </w:rPr>
        <w:t xml:space="preserve">1.35 million </w:t>
      </w:r>
      <w:r w:rsidRPr="0009718F">
        <w:rPr>
          <w:sz w:val="24"/>
          <w:szCs w:val="24"/>
        </w:rPr>
        <w:t>and the Group’s amortization of property development cost of RM</w:t>
      </w:r>
      <w:r w:rsidR="0084457F" w:rsidRPr="0009718F">
        <w:rPr>
          <w:sz w:val="24"/>
          <w:szCs w:val="24"/>
          <w:lang w:val="en-MY"/>
        </w:rPr>
        <w:t>372</w:t>
      </w:r>
      <w:r w:rsidRPr="0009718F">
        <w:rPr>
          <w:sz w:val="24"/>
          <w:szCs w:val="24"/>
        </w:rPr>
        <w:t xml:space="preserve">,000 </w:t>
      </w:r>
      <w:r w:rsidR="00460462" w:rsidRPr="0009718F">
        <w:rPr>
          <w:sz w:val="24"/>
          <w:szCs w:val="24"/>
          <w:lang w:val="en-MY"/>
        </w:rPr>
        <w:t xml:space="preserve">and the depreciation of revalued land of RM </w:t>
      </w:r>
      <w:r w:rsidR="0084457F" w:rsidRPr="0009718F">
        <w:rPr>
          <w:sz w:val="24"/>
          <w:szCs w:val="24"/>
          <w:lang w:val="en-MY"/>
        </w:rPr>
        <w:t>271</w:t>
      </w:r>
      <w:r w:rsidR="00460462" w:rsidRPr="0009718F">
        <w:rPr>
          <w:sz w:val="24"/>
          <w:szCs w:val="24"/>
          <w:lang w:val="en-MY"/>
        </w:rPr>
        <w:t xml:space="preserve">,000 </w:t>
      </w:r>
      <w:r w:rsidRPr="0009718F">
        <w:rPr>
          <w:sz w:val="24"/>
          <w:szCs w:val="24"/>
        </w:rPr>
        <w:t>also contributed to the Group loss before taxation for</w:t>
      </w:r>
      <w:r w:rsidR="00460462" w:rsidRPr="0009718F">
        <w:rPr>
          <w:sz w:val="24"/>
          <w:szCs w:val="24"/>
        </w:rPr>
        <w:t xml:space="preserve"> the period ended 30th </w:t>
      </w:r>
      <w:r w:rsidR="001D7CF9" w:rsidRPr="0009718F">
        <w:rPr>
          <w:sz w:val="24"/>
          <w:szCs w:val="24"/>
        </w:rPr>
        <w:t>September</w:t>
      </w:r>
      <w:r w:rsidR="00460462" w:rsidRPr="0009718F">
        <w:rPr>
          <w:sz w:val="24"/>
          <w:szCs w:val="24"/>
        </w:rPr>
        <w:t xml:space="preserve"> 201</w:t>
      </w:r>
      <w:r w:rsidR="00460462" w:rsidRPr="0009718F">
        <w:rPr>
          <w:sz w:val="24"/>
          <w:szCs w:val="24"/>
          <w:lang w:val="en-MY"/>
        </w:rPr>
        <w:t>7</w:t>
      </w:r>
      <w:r w:rsidRPr="0009718F">
        <w:rPr>
          <w:sz w:val="24"/>
          <w:szCs w:val="24"/>
        </w:rPr>
        <w:t>.</w:t>
      </w:r>
      <w:r w:rsidRPr="0009718F">
        <w:rPr>
          <w:sz w:val="24"/>
          <w:szCs w:val="24"/>
          <w:lang w:val="en-US"/>
        </w:rPr>
        <w:t xml:space="preserve"> </w:t>
      </w:r>
    </w:p>
    <w:p w14:paraId="032D7749" w14:textId="77777777" w:rsidR="00A21976" w:rsidRDefault="00A21976" w:rsidP="00A21976">
      <w:pPr>
        <w:pStyle w:val="BodyTextIndent"/>
        <w:ind w:left="720" w:right="-288"/>
        <w:rPr>
          <w:sz w:val="24"/>
          <w:szCs w:val="24"/>
          <w:lang w:val="en-US"/>
        </w:rPr>
      </w:pPr>
    </w:p>
    <w:p w14:paraId="6DF6C5E1" w14:textId="7ACA4F21" w:rsidR="00A21976" w:rsidRPr="0009718F" w:rsidRDefault="00DC502A" w:rsidP="00DC502A">
      <w:pPr>
        <w:pStyle w:val="BodyTextIndent"/>
        <w:ind w:left="720" w:right="-288"/>
        <w:rPr>
          <w:sz w:val="24"/>
          <w:szCs w:val="24"/>
          <w:lang w:val="en-US"/>
        </w:rPr>
      </w:pPr>
      <w:r>
        <w:rPr>
          <w:sz w:val="24"/>
          <w:szCs w:val="24"/>
          <w:lang w:val="en-US"/>
        </w:rPr>
        <w:t>The Group’s revenue for the period was affected by the aftersales revenue for one of the vehicle brands due to issues with the warranty claims and remedial actions have been addressed with the principal. In addition, during the corresponding year period, the automotive sales was higher due to one of the brands clearing their old stock. However, the lower revenue was off-set by the higher Property Division sales of 7 unit of residential property compared to 6 units in the corresponding year financial period.</w:t>
      </w:r>
    </w:p>
    <w:p w14:paraId="6B548A1B" w14:textId="77777777" w:rsidR="00033271" w:rsidRPr="0009718F" w:rsidRDefault="00033271" w:rsidP="00033271">
      <w:pPr>
        <w:pStyle w:val="BodyTextIndent"/>
        <w:ind w:right="-288"/>
        <w:rPr>
          <w:sz w:val="24"/>
          <w:szCs w:val="24"/>
          <w:lang w:val="en-US"/>
        </w:rPr>
      </w:pPr>
    </w:p>
    <w:p w14:paraId="18FE54CA" w14:textId="77777777" w:rsidR="0047745A" w:rsidRPr="0009718F" w:rsidRDefault="0047745A" w:rsidP="00BE0C32">
      <w:pPr>
        <w:pStyle w:val="BodyTextIndent"/>
        <w:ind w:right="-288"/>
        <w:rPr>
          <w:sz w:val="24"/>
          <w:szCs w:val="24"/>
          <w:lang w:val="en-US"/>
        </w:rPr>
      </w:pPr>
    </w:p>
    <w:p w14:paraId="48592A7D" w14:textId="23632312" w:rsidR="00195D62" w:rsidRPr="0009718F" w:rsidRDefault="00195D62" w:rsidP="00BE0C32">
      <w:pPr>
        <w:pStyle w:val="BodyTextIndent"/>
        <w:ind w:right="-288"/>
        <w:rPr>
          <w:sz w:val="24"/>
          <w:szCs w:val="24"/>
          <w:lang w:val="en-US"/>
        </w:rPr>
      </w:pPr>
    </w:p>
    <w:p w14:paraId="79D7D210" w14:textId="77777777" w:rsidR="009464A6" w:rsidRDefault="009464A6" w:rsidP="009464A6">
      <w:pPr>
        <w:rPr>
          <w:sz w:val="24"/>
          <w:szCs w:val="24"/>
          <w:lang w:val="en-GB"/>
        </w:rPr>
      </w:pPr>
    </w:p>
    <w:p w14:paraId="67A2AAB1" w14:textId="77777777" w:rsidR="009464A6" w:rsidRDefault="009464A6" w:rsidP="009464A6">
      <w:pPr>
        <w:rPr>
          <w:sz w:val="24"/>
          <w:szCs w:val="24"/>
          <w:lang w:val="en-GB"/>
        </w:rPr>
      </w:pPr>
    </w:p>
    <w:p w14:paraId="667B444E" w14:textId="77777777" w:rsidR="009464A6" w:rsidRDefault="009464A6" w:rsidP="009464A6">
      <w:pPr>
        <w:rPr>
          <w:sz w:val="24"/>
          <w:szCs w:val="24"/>
          <w:lang w:val="en-GB"/>
        </w:rPr>
      </w:pPr>
    </w:p>
    <w:p w14:paraId="1FBFCFC2" w14:textId="21BD64FC" w:rsidR="00937FDC" w:rsidRPr="0009718F" w:rsidRDefault="00542AB4" w:rsidP="009464A6">
      <w:pPr>
        <w:rPr>
          <w:sz w:val="24"/>
          <w:szCs w:val="24"/>
        </w:rPr>
      </w:pPr>
      <w:r w:rsidRPr="0009718F">
        <w:rPr>
          <w:sz w:val="24"/>
          <w:szCs w:val="24"/>
          <w:lang w:val="en-GB"/>
        </w:rPr>
        <w:lastRenderedPageBreak/>
        <w:t>15</w:t>
      </w:r>
      <w:r w:rsidR="00937FDC" w:rsidRPr="0009718F">
        <w:rPr>
          <w:sz w:val="24"/>
          <w:szCs w:val="24"/>
        </w:rPr>
        <w:t xml:space="preserve">. </w:t>
      </w:r>
      <w:r w:rsidR="002965DA" w:rsidRPr="0009718F">
        <w:rPr>
          <w:sz w:val="24"/>
          <w:szCs w:val="24"/>
        </w:rPr>
        <w:t xml:space="preserve">COMPARISON WITH IMMEDIATE PRECEDING QUARTER’S RESULTS </w:t>
      </w:r>
    </w:p>
    <w:p w14:paraId="1C9210DB" w14:textId="77777777" w:rsidR="00937FDC" w:rsidRPr="0009718F" w:rsidRDefault="00937FDC" w:rsidP="00937FDC">
      <w:pPr>
        <w:pStyle w:val="BodyTextIndent"/>
        <w:rPr>
          <w:sz w:val="16"/>
          <w:szCs w:val="16"/>
        </w:rPr>
      </w:pPr>
    </w:p>
    <w:p w14:paraId="2A9D710F" w14:textId="355E196B" w:rsidR="00A641BD" w:rsidRDefault="00A06300" w:rsidP="00937FDC">
      <w:pPr>
        <w:pStyle w:val="BodyTextIndent"/>
        <w:ind w:right="-288"/>
        <w:rPr>
          <w:sz w:val="24"/>
          <w:szCs w:val="24"/>
          <w:lang w:val="en-US"/>
        </w:rPr>
      </w:pPr>
      <w:r w:rsidRPr="0009718F">
        <w:rPr>
          <w:sz w:val="24"/>
          <w:szCs w:val="24"/>
        </w:rPr>
        <w:t xml:space="preserve">The Group’s current quarter revenue of </w:t>
      </w:r>
      <w:r w:rsidR="00D23DF9" w:rsidRPr="0009718F">
        <w:rPr>
          <w:sz w:val="24"/>
          <w:szCs w:val="24"/>
          <w:lang w:val="en-MY"/>
        </w:rPr>
        <w:t>RM</w:t>
      </w:r>
      <w:r w:rsidR="00467561" w:rsidRPr="0009718F">
        <w:rPr>
          <w:sz w:val="24"/>
          <w:szCs w:val="24"/>
          <w:lang w:val="en-MY"/>
        </w:rPr>
        <w:t>18.</w:t>
      </w:r>
      <w:r w:rsidR="002935BD" w:rsidRPr="0009718F">
        <w:rPr>
          <w:sz w:val="24"/>
          <w:szCs w:val="24"/>
          <w:lang w:val="en-MY"/>
        </w:rPr>
        <w:t xml:space="preserve">49 </w:t>
      </w:r>
      <w:r w:rsidRPr="0009718F">
        <w:rPr>
          <w:sz w:val="24"/>
          <w:szCs w:val="24"/>
        </w:rPr>
        <w:t>million against the preceding quarter revenue of RM</w:t>
      </w:r>
      <w:r w:rsidR="002935BD" w:rsidRPr="0009718F">
        <w:rPr>
          <w:sz w:val="24"/>
          <w:szCs w:val="24"/>
          <w:lang w:val="en-US"/>
        </w:rPr>
        <w:t xml:space="preserve">18.66 </w:t>
      </w:r>
      <w:r w:rsidRPr="0009718F">
        <w:rPr>
          <w:sz w:val="24"/>
          <w:szCs w:val="24"/>
        </w:rPr>
        <w:t xml:space="preserve">million, was </w:t>
      </w:r>
      <w:r w:rsidR="00FA08E6" w:rsidRPr="0009718F">
        <w:rPr>
          <w:sz w:val="24"/>
          <w:szCs w:val="24"/>
        </w:rPr>
        <w:t xml:space="preserve">mainly </w:t>
      </w:r>
      <w:r w:rsidRPr="0009718F">
        <w:rPr>
          <w:sz w:val="24"/>
          <w:szCs w:val="24"/>
        </w:rPr>
        <w:t xml:space="preserve">due </w:t>
      </w:r>
      <w:r w:rsidR="00242588" w:rsidRPr="0009718F">
        <w:rPr>
          <w:sz w:val="24"/>
          <w:szCs w:val="24"/>
          <w:lang w:val="en-US"/>
        </w:rPr>
        <w:t>to</w:t>
      </w:r>
      <w:r w:rsidR="007A178D" w:rsidRPr="0009718F">
        <w:rPr>
          <w:sz w:val="24"/>
          <w:szCs w:val="24"/>
          <w:lang w:val="en-US"/>
        </w:rPr>
        <w:t xml:space="preserve"> </w:t>
      </w:r>
      <w:r w:rsidR="000B076D" w:rsidRPr="0009718F">
        <w:rPr>
          <w:sz w:val="24"/>
          <w:szCs w:val="24"/>
          <w:lang w:val="en-US"/>
        </w:rPr>
        <w:t xml:space="preserve">higher </w:t>
      </w:r>
      <w:r w:rsidR="009B615E" w:rsidRPr="0009718F">
        <w:rPr>
          <w:sz w:val="24"/>
          <w:szCs w:val="24"/>
          <w:lang w:val="en-US"/>
        </w:rPr>
        <w:t>automotive</w:t>
      </w:r>
      <w:r w:rsidR="00F902A6" w:rsidRPr="0009718F">
        <w:rPr>
          <w:sz w:val="24"/>
          <w:szCs w:val="24"/>
          <w:lang w:val="en-US"/>
        </w:rPr>
        <w:t xml:space="preserve"> sales</w:t>
      </w:r>
      <w:r w:rsidR="002935BD" w:rsidRPr="0009718F">
        <w:rPr>
          <w:sz w:val="24"/>
          <w:szCs w:val="24"/>
          <w:lang w:val="en-US"/>
        </w:rPr>
        <w:t xml:space="preserve"> offset by decrease in property sales</w:t>
      </w:r>
      <w:r w:rsidR="009F5E48" w:rsidRPr="0009718F">
        <w:rPr>
          <w:sz w:val="24"/>
          <w:szCs w:val="24"/>
          <w:lang w:val="en-US"/>
        </w:rPr>
        <w:t xml:space="preserve">. </w:t>
      </w:r>
      <w:r w:rsidR="00937FDC" w:rsidRPr="0009718F">
        <w:rPr>
          <w:sz w:val="24"/>
          <w:szCs w:val="24"/>
        </w:rPr>
        <w:t xml:space="preserve">The Group’s </w:t>
      </w:r>
      <w:r w:rsidR="00F72984" w:rsidRPr="0009718F">
        <w:rPr>
          <w:sz w:val="24"/>
          <w:szCs w:val="24"/>
          <w:lang w:val="en-US"/>
        </w:rPr>
        <w:t>loss</w:t>
      </w:r>
      <w:r w:rsidR="00937FDC" w:rsidRPr="0009718F">
        <w:rPr>
          <w:sz w:val="24"/>
          <w:szCs w:val="24"/>
        </w:rPr>
        <w:t xml:space="preserve"> before taxation for the current quarter of </w:t>
      </w:r>
      <w:r w:rsidR="00D23DF9" w:rsidRPr="0009718F">
        <w:rPr>
          <w:sz w:val="24"/>
          <w:szCs w:val="24"/>
          <w:lang w:val="en-MY"/>
        </w:rPr>
        <w:t>RM</w:t>
      </w:r>
      <w:r w:rsidR="002935BD" w:rsidRPr="0009718F">
        <w:rPr>
          <w:sz w:val="24"/>
          <w:szCs w:val="24"/>
          <w:lang w:val="en-MY"/>
        </w:rPr>
        <w:t>2.</w:t>
      </w:r>
      <w:r w:rsidR="00E02F48">
        <w:rPr>
          <w:sz w:val="24"/>
          <w:szCs w:val="24"/>
          <w:lang w:val="en-MY"/>
        </w:rPr>
        <w:t>30</w:t>
      </w:r>
      <w:r w:rsidR="00F72984" w:rsidRPr="0009718F">
        <w:rPr>
          <w:sz w:val="24"/>
          <w:szCs w:val="24"/>
          <w:lang w:val="en-US"/>
        </w:rPr>
        <w:t>million</w:t>
      </w:r>
      <w:r w:rsidR="00F902A6" w:rsidRPr="0009718F">
        <w:rPr>
          <w:sz w:val="24"/>
          <w:szCs w:val="24"/>
          <w:lang w:val="en-US"/>
        </w:rPr>
        <w:t xml:space="preserve"> </w:t>
      </w:r>
      <w:r w:rsidR="00937FDC" w:rsidRPr="0009718F">
        <w:rPr>
          <w:sz w:val="24"/>
          <w:szCs w:val="24"/>
        </w:rPr>
        <w:t xml:space="preserve">compared to a </w:t>
      </w:r>
      <w:r w:rsidR="00A87A9B" w:rsidRPr="0009718F">
        <w:rPr>
          <w:sz w:val="24"/>
          <w:szCs w:val="24"/>
          <w:lang w:val="en-US"/>
        </w:rPr>
        <w:t>loss</w:t>
      </w:r>
      <w:r w:rsidR="00937FDC" w:rsidRPr="0009718F">
        <w:rPr>
          <w:sz w:val="24"/>
          <w:szCs w:val="24"/>
        </w:rPr>
        <w:t xml:space="preserve"> before taxation of </w:t>
      </w:r>
      <w:r w:rsidR="009F1F8B" w:rsidRPr="0009718F">
        <w:rPr>
          <w:sz w:val="24"/>
          <w:szCs w:val="24"/>
          <w:lang w:val="en-MY"/>
        </w:rPr>
        <w:t>R</w:t>
      </w:r>
      <w:r w:rsidR="00DF0AED" w:rsidRPr="0009718F">
        <w:rPr>
          <w:sz w:val="24"/>
          <w:szCs w:val="24"/>
          <w:lang w:val="en-MY"/>
        </w:rPr>
        <w:t>M</w:t>
      </w:r>
      <w:r w:rsidR="002935BD" w:rsidRPr="0009718F">
        <w:rPr>
          <w:sz w:val="24"/>
          <w:szCs w:val="24"/>
          <w:lang w:val="en-MY"/>
        </w:rPr>
        <w:t xml:space="preserve">1.59 </w:t>
      </w:r>
      <w:r w:rsidR="00A87A9B" w:rsidRPr="0009718F">
        <w:rPr>
          <w:sz w:val="24"/>
          <w:szCs w:val="24"/>
          <w:lang w:val="en-US"/>
        </w:rPr>
        <w:t xml:space="preserve">million </w:t>
      </w:r>
      <w:r w:rsidRPr="0009718F">
        <w:rPr>
          <w:sz w:val="24"/>
          <w:szCs w:val="24"/>
        </w:rPr>
        <w:t>in the preceding quarter</w:t>
      </w:r>
      <w:r w:rsidR="00E873DF" w:rsidRPr="0009718F">
        <w:rPr>
          <w:sz w:val="24"/>
          <w:szCs w:val="24"/>
        </w:rPr>
        <w:t>, w</w:t>
      </w:r>
      <w:r w:rsidR="00285A01" w:rsidRPr="0009718F">
        <w:rPr>
          <w:sz w:val="24"/>
          <w:szCs w:val="24"/>
          <w:lang w:val="en-US"/>
        </w:rPr>
        <w:t>as</w:t>
      </w:r>
      <w:r w:rsidR="00E873DF" w:rsidRPr="0009718F">
        <w:rPr>
          <w:sz w:val="24"/>
          <w:szCs w:val="24"/>
        </w:rPr>
        <w:t xml:space="preserve"> </w:t>
      </w:r>
      <w:r w:rsidR="00922D9B" w:rsidRPr="0009718F">
        <w:rPr>
          <w:sz w:val="24"/>
          <w:szCs w:val="24"/>
          <w:lang w:val="en-MY"/>
        </w:rPr>
        <w:t xml:space="preserve">mainly </w:t>
      </w:r>
      <w:r w:rsidR="00E873DF" w:rsidRPr="0009718F">
        <w:rPr>
          <w:sz w:val="24"/>
          <w:szCs w:val="24"/>
        </w:rPr>
        <w:t>attributed</w:t>
      </w:r>
      <w:r w:rsidR="00242588" w:rsidRPr="0009718F">
        <w:rPr>
          <w:sz w:val="24"/>
          <w:szCs w:val="24"/>
          <w:lang w:val="en-US"/>
        </w:rPr>
        <w:t xml:space="preserve"> to</w:t>
      </w:r>
      <w:r w:rsidR="00E873DF" w:rsidRPr="0009718F">
        <w:rPr>
          <w:sz w:val="24"/>
          <w:szCs w:val="24"/>
        </w:rPr>
        <w:t xml:space="preserve"> </w:t>
      </w:r>
      <w:r w:rsidR="0073058E" w:rsidRPr="0009718F">
        <w:rPr>
          <w:sz w:val="24"/>
          <w:szCs w:val="24"/>
          <w:lang w:val="en-US"/>
        </w:rPr>
        <w:t>t</w:t>
      </w:r>
      <w:r w:rsidR="003517DC" w:rsidRPr="0009718F">
        <w:rPr>
          <w:sz w:val="24"/>
          <w:szCs w:val="24"/>
          <w:lang w:val="en-US"/>
        </w:rPr>
        <w:t>he</w:t>
      </w:r>
      <w:r w:rsidR="00922D9B" w:rsidRPr="0009718F">
        <w:rPr>
          <w:sz w:val="24"/>
          <w:szCs w:val="24"/>
          <w:lang w:val="en-US"/>
        </w:rPr>
        <w:t xml:space="preserve"> </w:t>
      </w:r>
      <w:r w:rsidR="00C20CF5" w:rsidRPr="0009718F">
        <w:rPr>
          <w:sz w:val="24"/>
          <w:szCs w:val="24"/>
          <w:lang w:val="en-US"/>
        </w:rPr>
        <w:t>loss</w:t>
      </w:r>
      <w:r w:rsidR="003517DC" w:rsidRPr="0009718F">
        <w:rPr>
          <w:sz w:val="24"/>
          <w:szCs w:val="24"/>
          <w:lang w:val="en-US"/>
        </w:rPr>
        <w:t xml:space="preserve"> before tax</w:t>
      </w:r>
      <w:r w:rsidR="00922D9B" w:rsidRPr="0009718F">
        <w:rPr>
          <w:sz w:val="24"/>
          <w:szCs w:val="24"/>
          <w:lang w:val="en-US"/>
        </w:rPr>
        <w:t>ation</w:t>
      </w:r>
      <w:r w:rsidR="003517DC" w:rsidRPr="0009718F">
        <w:rPr>
          <w:sz w:val="24"/>
          <w:szCs w:val="24"/>
          <w:lang w:val="en-US"/>
        </w:rPr>
        <w:t xml:space="preserve"> </w:t>
      </w:r>
      <w:r w:rsidR="00285A01" w:rsidRPr="0009718F">
        <w:rPr>
          <w:sz w:val="24"/>
          <w:szCs w:val="24"/>
          <w:lang w:val="en-US"/>
        </w:rPr>
        <w:t>of</w:t>
      </w:r>
      <w:r w:rsidR="003517DC" w:rsidRPr="0009718F">
        <w:rPr>
          <w:sz w:val="24"/>
          <w:szCs w:val="24"/>
          <w:lang w:val="en-US"/>
        </w:rPr>
        <w:t xml:space="preserve"> </w:t>
      </w:r>
      <w:r w:rsidR="00922D9B" w:rsidRPr="0009718F">
        <w:rPr>
          <w:sz w:val="24"/>
          <w:szCs w:val="24"/>
          <w:lang w:val="en-US"/>
        </w:rPr>
        <w:t xml:space="preserve">Automobile Division of </w:t>
      </w:r>
      <w:r w:rsidR="00DF0AED" w:rsidRPr="0009718F">
        <w:rPr>
          <w:sz w:val="24"/>
          <w:szCs w:val="24"/>
          <w:lang w:val="en-US"/>
        </w:rPr>
        <w:t>RM</w:t>
      </w:r>
      <w:r w:rsidR="002935BD" w:rsidRPr="0009718F">
        <w:rPr>
          <w:sz w:val="24"/>
          <w:szCs w:val="24"/>
          <w:lang w:val="en-US"/>
        </w:rPr>
        <w:t xml:space="preserve">1.00 million </w:t>
      </w:r>
      <w:r w:rsidR="00922D9B" w:rsidRPr="0009718F">
        <w:rPr>
          <w:sz w:val="24"/>
          <w:szCs w:val="24"/>
          <w:lang w:val="en-US"/>
        </w:rPr>
        <w:t xml:space="preserve">and </w:t>
      </w:r>
      <w:r w:rsidR="00A87A9B" w:rsidRPr="0009718F">
        <w:rPr>
          <w:sz w:val="24"/>
          <w:szCs w:val="24"/>
          <w:lang w:val="en-US"/>
        </w:rPr>
        <w:t>loss</w:t>
      </w:r>
      <w:r w:rsidR="00922D9B" w:rsidRPr="0009718F">
        <w:rPr>
          <w:sz w:val="24"/>
          <w:szCs w:val="24"/>
          <w:lang w:val="en-US"/>
        </w:rPr>
        <w:t xml:space="preserve"> before taxation </w:t>
      </w:r>
      <w:r w:rsidR="00285A01" w:rsidRPr="0009718F">
        <w:rPr>
          <w:sz w:val="24"/>
          <w:szCs w:val="24"/>
          <w:lang w:val="en-US"/>
        </w:rPr>
        <w:t>of</w:t>
      </w:r>
      <w:r w:rsidR="00922D9B" w:rsidRPr="0009718F">
        <w:rPr>
          <w:sz w:val="24"/>
          <w:szCs w:val="24"/>
          <w:lang w:val="en-US"/>
        </w:rPr>
        <w:t xml:space="preserve"> </w:t>
      </w:r>
      <w:r w:rsidR="00335987" w:rsidRPr="0009718F">
        <w:rPr>
          <w:sz w:val="24"/>
          <w:szCs w:val="24"/>
          <w:lang w:val="en-US"/>
        </w:rPr>
        <w:t>Property Development D</w:t>
      </w:r>
      <w:r w:rsidR="003517DC" w:rsidRPr="0009718F">
        <w:rPr>
          <w:sz w:val="24"/>
          <w:szCs w:val="24"/>
          <w:lang w:val="en-US"/>
        </w:rPr>
        <w:t xml:space="preserve">ivision of </w:t>
      </w:r>
      <w:r w:rsidR="002935BD" w:rsidRPr="0009718F">
        <w:rPr>
          <w:sz w:val="24"/>
          <w:szCs w:val="24"/>
          <w:lang w:val="en-US"/>
        </w:rPr>
        <w:t>RM745</w:t>
      </w:r>
      <w:r w:rsidR="006078BB" w:rsidRPr="0009718F">
        <w:rPr>
          <w:sz w:val="24"/>
          <w:szCs w:val="24"/>
          <w:lang w:val="en-US"/>
        </w:rPr>
        <w:t xml:space="preserve">,000 </w:t>
      </w:r>
      <w:r w:rsidR="00853285" w:rsidRPr="0009718F">
        <w:rPr>
          <w:sz w:val="24"/>
          <w:szCs w:val="24"/>
          <w:lang w:val="en-US"/>
        </w:rPr>
        <w:t xml:space="preserve">against </w:t>
      </w:r>
      <w:r w:rsidR="0019045C" w:rsidRPr="0009718F">
        <w:rPr>
          <w:sz w:val="24"/>
          <w:szCs w:val="24"/>
          <w:lang w:val="en-US"/>
        </w:rPr>
        <w:t>loss</w:t>
      </w:r>
      <w:r w:rsidR="00853285" w:rsidRPr="0009718F">
        <w:rPr>
          <w:sz w:val="24"/>
          <w:szCs w:val="24"/>
          <w:lang w:val="en-US"/>
        </w:rPr>
        <w:t xml:space="preserve"> before taxation of </w:t>
      </w:r>
      <w:r w:rsidR="00DF0AED" w:rsidRPr="0009718F">
        <w:rPr>
          <w:sz w:val="24"/>
          <w:szCs w:val="24"/>
          <w:lang w:val="en-US"/>
        </w:rPr>
        <w:t>RM</w:t>
      </w:r>
      <w:r w:rsidR="002935BD" w:rsidRPr="0009718F">
        <w:rPr>
          <w:sz w:val="24"/>
          <w:szCs w:val="24"/>
          <w:lang w:val="en-US"/>
        </w:rPr>
        <w:t xml:space="preserve">399,000 </w:t>
      </w:r>
      <w:r w:rsidR="002D5E2E" w:rsidRPr="0009718F">
        <w:rPr>
          <w:sz w:val="24"/>
          <w:szCs w:val="24"/>
          <w:lang w:val="en-US"/>
        </w:rPr>
        <w:t xml:space="preserve">and </w:t>
      </w:r>
      <w:r w:rsidR="00683F31" w:rsidRPr="0009718F">
        <w:rPr>
          <w:sz w:val="24"/>
          <w:szCs w:val="24"/>
          <w:lang w:val="en-US"/>
        </w:rPr>
        <w:t>loss</w:t>
      </w:r>
      <w:r w:rsidR="002D5E2E" w:rsidRPr="0009718F">
        <w:rPr>
          <w:sz w:val="24"/>
          <w:szCs w:val="24"/>
          <w:lang w:val="en-US"/>
        </w:rPr>
        <w:t xml:space="preserve"> before taxation of </w:t>
      </w:r>
      <w:r w:rsidR="002935BD" w:rsidRPr="0009718F">
        <w:rPr>
          <w:sz w:val="24"/>
          <w:szCs w:val="24"/>
          <w:lang w:val="en-US"/>
        </w:rPr>
        <w:t>RM467</w:t>
      </w:r>
      <w:r w:rsidR="006078BB" w:rsidRPr="0009718F">
        <w:rPr>
          <w:sz w:val="24"/>
          <w:szCs w:val="24"/>
          <w:lang w:val="en-US"/>
        </w:rPr>
        <w:t xml:space="preserve">,000 </w:t>
      </w:r>
      <w:r w:rsidR="00712881" w:rsidRPr="0009718F">
        <w:rPr>
          <w:sz w:val="24"/>
          <w:szCs w:val="24"/>
          <w:lang w:val="en-US"/>
        </w:rPr>
        <w:t>respectively</w:t>
      </w:r>
      <w:r w:rsidR="00907E09" w:rsidRPr="0009718F">
        <w:rPr>
          <w:sz w:val="24"/>
          <w:szCs w:val="24"/>
          <w:lang w:val="en-US"/>
        </w:rPr>
        <w:t xml:space="preserve"> in</w:t>
      </w:r>
      <w:r w:rsidR="00853285" w:rsidRPr="0009718F">
        <w:rPr>
          <w:sz w:val="24"/>
          <w:szCs w:val="24"/>
          <w:lang w:val="en-US"/>
        </w:rPr>
        <w:t xml:space="preserve"> the preceding quarter.</w:t>
      </w:r>
      <w:r w:rsidR="007663DF" w:rsidRPr="0009718F">
        <w:rPr>
          <w:sz w:val="24"/>
          <w:szCs w:val="24"/>
          <w:lang w:val="en-US"/>
        </w:rPr>
        <w:t xml:space="preserve"> </w:t>
      </w:r>
      <w:r w:rsidR="009010B5">
        <w:rPr>
          <w:sz w:val="24"/>
          <w:szCs w:val="24"/>
          <w:lang w:val="en-US"/>
        </w:rPr>
        <w:t>The Company</w:t>
      </w:r>
      <w:r w:rsidR="001D44FF">
        <w:rPr>
          <w:sz w:val="24"/>
          <w:szCs w:val="24"/>
          <w:lang w:val="en-US"/>
        </w:rPr>
        <w:t>’s los</w:t>
      </w:r>
      <w:r w:rsidR="009010B5">
        <w:rPr>
          <w:sz w:val="24"/>
          <w:szCs w:val="24"/>
          <w:lang w:val="en-US"/>
        </w:rPr>
        <w:t>s of RM 417,000 also contributed to the loss for the current quarter.</w:t>
      </w:r>
    </w:p>
    <w:p w14:paraId="67AB7077" w14:textId="77777777" w:rsidR="00DF42DA" w:rsidRDefault="00DF42DA" w:rsidP="00937FDC">
      <w:pPr>
        <w:pStyle w:val="BodyTextIndent"/>
        <w:ind w:right="-288"/>
        <w:rPr>
          <w:sz w:val="24"/>
          <w:szCs w:val="24"/>
          <w:lang w:val="en-US"/>
        </w:rPr>
      </w:pPr>
    </w:p>
    <w:p w14:paraId="37067C24" w14:textId="72308FFE" w:rsidR="00DF42DA" w:rsidRPr="0009718F" w:rsidRDefault="00DF42DA" w:rsidP="00937FDC">
      <w:pPr>
        <w:pStyle w:val="BodyTextIndent"/>
        <w:ind w:right="-288"/>
        <w:rPr>
          <w:sz w:val="24"/>
          <w:szCs w:val="24"/>
          <w:lang w:val="en-US"/>
        </w:rPr>
      </w:pPr>
      <w:r>
        <w:rPr>
          <w:sz w:val="24"/>
          <w:szCs w:val="24"/>
          <w:lang w:val="en-US"/>
        </w:rPr>
        <w:t xml:space="preserve">In the Automotive Division for the current quarter, the vehicle sales increased and had achieved 2 monthly and the quarterly sales targets for one of the brands, thus receiving the incentives from the principal. </w:t>
      </w:r>
      <w:r w:rsidR="005E6166">
        <w:rPr>
          <w:sz w:val="24"/>
          <w:szCs w:val="24"/>
          <w:lang w:val="en-US"/>
        </w:rPr>
        <w:t>However</w:t>
      </w:r>
      <w:r>
        <w:rPr>
          <w:sz w:val="24"/>
          <w:szCs w:val="24"/>
          <w:lang w:val="en-US"/>
        </w:rPr>
        <w:t xml:space="preserve">, there were warranty charge back and rejections which further affected the performance of the Automotive Division. </w:t>
      </w:r>
      <w:r w:rsidR="005E6166">
        <w:rPr>
          <w:sz w:val="24"/>
          <w:szCs w:val="24"/>
          <w:lang w:val="en-US"/>
        </w:rPr>
        <w:t>In addition</w:t>
      </w:r>
      <w:r>
        <w:rPr>
          <w:sz w:val="24"/>
          <w:szCs w:val="24"/>
          <w:lang w:val="en-US"/>
        </w:rPr>
        <w:t>, the Property Division sold 1 unit of residential property compared to 3 units in the preceding quarter.</w:t>
      </w:r>
    </w:p>
    <w:p w14:paraId="75071B92" w14:textId="77777777" w:rsidR="008C58DE" w:rsidRPr="0009718F" w:rsidRDefault="008C58DE" w:rsidP="00937FDC">
      <w:pPr>
        <w:pStyle w:val="BodyTextIndent"/>
        <w:ind w:right="-288"/>
        <w:rPr>
          <w:sz w:val="24"/>
          <w:szCs w:val="24"/>
          <w:lang w:val="en-US"/>
        </w:rPr>
      </w:pPr>
    </w:p>
    <w:p w14:paraId="2CB9A90D" w14:textId="77777777" w:rsidR="008C58DE" w:rsidRPr="0009718F" w:rsidRDefault="008C58DE" w:rsidP="00937FDC">
      <w:pPr>
        <w:pStyle w:val="BodyTextIndent"/>
        <w:ind w:right="-288"/>
        <w:rPr>
          <w:sz w:val="24"/>
          <w:szCs w:val="24"/>
          <w:lang w:val="en-US"/>
        </w:rPr>
      </w:pPr>
    </w:p>
    <w:p w14:paraId="699718AF" w14:textId="77777777" w:rsidR="00937FDC" w:rsidRPr="0009718F" w:rsidRDefault="00937FDC" w:rsidP="00937FDC">
      <w:pPr>
        <w:pStyle w:val="BodyTextIndent"/>
        <w:ind w:left="0"/>
        <w:rPr>
          <w:sz w:val="16"/>
          <w:szCs w:val="16"/>
          <w:lang w:val="en-US"/>
        </w:rPr>
      </w:pPr>
    </w:p>
    <w:p w14:paraId="649ADDEB" w14:textId="44E9EC91" w:rsidR="00937FDC" w:rsidRPr="0009718F" w:rsidRDefault="00542AB4" w:rsidP="008B5D58">
      <w:pPr>
        <w:pStyle w:val="BodyTextIndent"/>
        <w:keepNext/>
        <w:keepLines/>
        <w:tabs>
          <w:tab w:val="left" w:pos="360"/>
        </w:tabs>
        <w:ind w:left="357" w:hanging="357"/>
        <w:rPr>
          <w:sz w:val="24"/>
          <w:szCs w:val="24"/>
        </w:rPr>
      </w:pPr>
      <w:r w:rsidRPr="0009718F">
        <w:rPr>
          <w:sz w:val="24"/>
          <w:szCs w:val="24"/>
          <w:lang w:val="en-GB"/>
        </w:rPr>
        <w:t>16</w:t>
      </w:r>
      <w:r w:rsidR="00937FDC" w:rsidRPr="0009718F">
        <w:rPr>
          <w:sz w:val="24"/>
          <w:szCs w:val="24"/>
        </w:rPr>
        <w:t>. BUSINESS PROSPECTS</w:t>
      </w:r>
    </w:p>
    <w:p w14:paraId="2440733D" w14:textId="77777777" w:rsidR="00937FDC" w:rsidRPr="0009718F" w:rsidRDefault="00937FDC" w:rsidP="008B5D58">
      <w:pPr>
        <w:pStyle w:val="BodyTextIndent"/>
        <w:keepNext/>
        <w:rPr>
          <w:sz w:val="16"/>
          <w:szCs w:val="16"/>
        </w:rPr>
      </w:pPr>
    </w:p>
    <w:p w14:paraId="5791B018" w14:textId="7C63600D" w:rsidR="00800810" w:rsidRPr="0009718F" w:rsidRDefault="00E86D09" w:rsidP="008B5D58">
      <w:pPr>
        <w:pStyle w:val="BodyTextIndent"/>
        <w:keepNext/>
        <w:ind w:right="-288"/>
        <w:rPr>
          <w:sz w:val="24"/>
          <w:szCs w:val="24"/>
          <w:u w:val="single"/>
          <w:lang w:val="en-US"/>
        </w:rPr>
      </w:pPr>
      <w:r w:rsidRPr="0009718F">
        <w:rPr>
          <w:sz w:val="24"/>
          <w:szCs w:val="24"/>
          <w:lang w:val="en-US"/>
        </w:rPr>
        <w:t xml:space="preserve">The general market condition presently in the country has </w:t>
      </w:r>
      <w:r w:rsidR="00667513" w:rsidRPr="0009718F">
        <w:rPr>
          <w:sz w:val="24"/>
          <w:szCs w:val="24"/>
          <w:lang w:val="en-US"/>
        </w:rPr>
        <w:t xml:space="preserve">not improved compared to prior </w:t>
      </w:r>
      <w:r w:rsidRPr="0009718F">
        <w:rPr>
          <w:sz w:val="24"/>
          <w:szCs w:val="24"/>
          <w:lang w:val="en-US"/>
        </w:rPr>
        <w:t xml:space="preserve">years. And this is not expected to improve in the near term. </w:t>
      </w:r>
      <w:r w:rsidR="00B47554" w:rsidRPr="0009718F">
        <w:rPr>
          <w:sz w:val="24"/>
          <w:szCs w:val="24"/>
          <w:lang w:val="en-US"/>
        </w:rPr>
        <w:t xml:space="preserve">These </w:t>
      </w:r>
      <w:r w:rsidRPr="0009718F">
        <w:rPr>
          <w:sz w:val="24"/>
          <w:szCs w:val="24"/>
          <w:lang w:val="en-US"/>
        </w:rPr>
        <w:t>condition</w:t>
      </w:r>
      <w:r w:rsidR="00B47554" w:rsidRPr="0009718F">
        <w:rPr>
          <w:sz w:val="24"/>
          <w:szCs w:val="24"/>
          <w:lang w:val="en-US"/>
        </w:rPr>
        <w:t xml:space="preserve">s will </w:t>
      </w:r>
      <w:r w:rsidRPr="0009718F">
        <w:rPr>
          <w:sz w:val="24"/>
          <w:szCs w:val="24"/>
          <w:lang w:val="en-US"/>
        </w:rPr>
        <w:t>affect our future business prospects both in the automobile and property business.</w:t>
      </w:r>
      <w:r w:rsidR="00E21C22" w:rsidRPr="0009718F">
        <w:rPr>
          <w:sz w:val="24"/>
          <w:szCs w:val="24"/>
          <w:u w:val="single"/>
          <w:lang w:val="en-US"/>
        </w:rPr>
        <w:t xml:space="preserve"> </w:t>
      </w:r>
    </w:p>
    <w:p w14:paraId="01FBD262" w14:textId="39E90CF3" w:rsidR="00285A01" w:rsidRPr="0009718F" w:rsidRDefault="00285A01" w:rsidP="0047182D">
      <w:pPr>
        <w:pStyle w:val="BodyTextIndent"/>
        <w:ind w:left="0" w:right="-288"/>
        <w:rPr>
          <w:sz w:val="24"/>
          <w:szCs w:val="24"/>
          <w:lang w:val="en-US"/>
        </w:rPr>
      </w:pPr>
    </w:p>
    <w:p w14:paraId="34C2AC08" w14:textId="6071BB6C" w:rsidR="00693157" w:rsidRPr="0009718F" w:rsidRDefault="00693157" w:rsidP="00937FDC">
      <w:pPr>
        <w:pStyle w:val="BodyTextIndent"/>
        <w:ind w:right="-288"/>
        <w:rPr>
          <w:sz w:val="24"/>
          <w:szCs w:val="24"/>
          <w:lang w:val="en-US"/>
        </w:rPr>
      </w:pPr>
    </w:p>
    <w:p w14:paraId="0630166C" w14:textId="77777777" w:rsidR="009568C1" w:rsidRPr="0009718F" w:rsidRDefault="009568C1" w:rsidP="00937FDC">
      <w:pPr>
        <w:pStyle w:val="BodyTextIndent"/>
        <w:ind w:right="-288"/>
        <w:rPr>
          <w:sz w:val="24"/>
          <w:szCs w:val="24"/>
          <w:lang w:val="en-US"/>
        </w:rPr>
      </w:pPr>
    </w:p>
    <w:p w14:paraId="2B4E6BC1" w14:textId="4FAA1D42" w:rsidR="00937FDC" w:rsidRPr="0009718F" w:rsidRDefault="00542AB4" w:rsidP="00937FDC">
      <w:pPr>
        <w:pStyle w:val="BodyTextIndent"/>
        <w:tabs>
          <w:tab w:val="left" w:pos="360"/>
        </w:tabs>
        <w:ind w:hanging="360"/>
        <w:rPr>
          <w:sz w:val="24"/>
          <w:szCs w:val="24"/>
        </w:rPr>
      </w:pPr>
      <w:r w:rsidRPr="0009718F">
        <w:rPr>
          <w:sz w:val="24"/>
          <w:szCs w:val="24"/>
          <w:lang w:val="en-GB"/>
        </w:rPr>
        <w:t>17</w:t>
      </w:r>
      <w:r w:rsidR="00937FDC" w:rsidRPr="0009718F">
        <w:rPr>
          <w:sz w:val="24"/>
          <w:szCs w:val="24"/>
        </w:rPr>
        <w:t>. PROFIT FORECAST OR PROFIT GUARANTEE</w:t>
      </w:r>
    </w:p>
    <w:p w14:paraId="7A88821B" w14:textId="77777777" w:rsidR="00937FDC" w:rsidRPr="0009718F" w:rsidRDefault="00937FDC" w:rsidP="00937FDC">
      <w:pPr>
        <w:pStyle w:val="BodyTextIndent"/>
        <w:rPr>
          <w:sz w:val="16"/>
          <w:szCs w:val="16"/>
        </w:rPr>
      </w:pPr>
    </w:p>
    <w:p w14:paraId="61F45272" w14:textId="7BD78600" w:rsidR="00937FDC" w:rsidRPr="0009718F" w:rsidRDefault="00937FDC" w:rsidP="00937FDC">
      <w:pPr>
        <w:pStyle w:val="BodyTextIndent"/>
        <w:ind w:right="-288"/>
        <w:rPr>
          <w:sz w:val="24"/>
          <w:szCs w:val="24"/>
        </w:rPr>
      </w:pPr>
      <w:r w:rsidRPr="0009718F">
        <w:rPr>
          <w:sz w:val="24"/>
          <w:szCs w:val="24"/>
        </w:rPr>
        <w:t>This is not applicable to the financial quarter under review.</w:t>
      </w:r>
    </w:p>
    <w:p w14:paraId="163C9913" w14:textId="77777777" w:rsidR="00363529" w:rsidRPr="0009718F" w:rsidRDefault="00363529" w:rsidP="00937FDC">
      <w:pPr>
        <w:pStyle w:val="BodyTextIndent"/>
        <w:ind w:right="-288"/>
        <w:rPr>
          <w:sz w:val="24"/>
          <w:szCs w:val="24"/>
          <w:lang w:val="en-US"/>
        </w:rPr>
      </w:pPr>
    </w:p>
    <w:p w14:paraId="4A8DF0C6" w14:textId="77777777" w:rsidR="00D1007B" w:rsidRPr="0009718F" w:rsidRDefault="00D1007B" w:rsidP="00937FDC">
      <w:pPr>
        <w:pStyle w:val="BodyTextIndent"/>
        <w:ind w:right="-288"/>
        <w:rPr>
          <w:sz w:val="24"/>
          <w:szCs w:val="24"/>
          <w:lang w:val="en-US"/>
        </w:rPr>
      </w:pPr>
    </w:p>
    <w:p w14:paraId="633845F3" w14:textId="1996302D" w:rsidR="00937FDC" w:rsidRPr="0009718F" w:rsidRDefault="00542AB4" w:rsidP="00937FDC">
      <w:pPr>
        <w:pStyle w:val="BodyTextIndent"/>
        <w:tabs>
          <w:tab w:val="left" w:pos="360"/>
        </w:tabs>
        <w:ind w:hanging="360"/>
        <w:rPr>
          <w:sz w:val="24"/>
          <w:szCs w:val="24"/>
          <w:lang w:val="en-GB"/>
        </w:rPr>
      </w:pPr>
      <w:r w:rsidRPr="0009718F">
        <w:rPr>
          <w:sz w:val="24"/>
          <w:szCs w:val="24"/>
          <w:lang w:val="en-US"/>
        </w:rPr>
        <w:t>18</w:t>
      </w:r>
      <w:r w:rsidR="00937FDC" w:rsidRPr="0009718F">
        <w:rPr>
          <w:sz w:val="24"/>
          <w:szCs w:val="24"/>
        </w:rPr>
        <w:t xml:space="preserve">. INCOME TAX </w:t>
      </w:r>
      <w:r w:rsidR="00942A93" w:rsidRPr="0009718F">
        <w:rPr>
          <w:sz w:val="24"/>
          <w:szCs w:val="24"/>
          <w:lang w:val="en-GB"/>
        </w:rPr>
        <w:t>BENEFIT</w:t>
      </w:r>
    </w:p>
    <w:p w14:paraId="7A9F6E82" w14:textId="77777777" w:rsidR="00942A93" w:rsidRPr="0009718F" w:rsidRDefault="00942A93" w:rsidP="00937FDC">
      <w:pPr>
        <w:pStyle w:val="BodyTextIndent"/>
        <w:tabs>
          <w:tab w:val="left" w:pos="360"/>
        </w:tabs>
        <w:ind w:hanging="360"/>
        <w:rPr>
          <w:sz w:val="24"/>
          <w:szCs w:val="24"/>
          <w:lang w:val="en-GB"/>
        </w:rPr>
      </w:pPr>
    </w:p>
    <w:p w14:paraId="00E05D36" w14:textId="77777777" w:rsidR="00937FDC" w:rsidRPr="0009718F" w:rsidRDefault="00937FDC" w:rsidP="00937FDC">
      <w:pPr>
        <w:pStyle w:val="BodyTextIndent"/>
        <w:tabs>
          <w:tab w:val="left" w:pos="360"/>
        </w:tabs>
        <w:ind w:hanging="360"/>
        <w:rPr>
          <w:sz w:val="24"/>
          <w:szCs w:val="24"/>
        </w:rPr>
      </w:pPr>
    </w:p>
    <w:bookmarkStart w:id="18" w:name="_MON_1390829974"/>
    <w:bookmarkStart w:id="19" w:name="_MON_1390830859"/>
    <w:bookmarkEnd w:id="18"/>
    <w:bookmarkEnd w:id="19"/>
    <w:bookmarkStart w:id="20" w:name="_MON_1391606272"/>
    <w:bookmarkEnd w:id="20"/>
    <w:p w14:paraId="3A64A39B" w14:textId="58BC967C" w:rsidR="00937FDC" w:rsidRPr="0009718F" w:rsidRDefault="00E02F48" w:rsidP="00937FDC">
      <w:pPr>
        <w:pStyle w:val="BodyTextIndent"/>
        <w:rPr>
          <w:sz w:val="16"/>
          <w:szCs w:val="16"/>
          <w:lang w:val="en-US"/>
        </w:rPr>
      </w:pPr>
      <w:r w:rsidRPr="0009718F">
        <w:rPr>
          <w:sz w:val="16"/>
          <w:szCs w:val="16"/>
        </w:rPr>
        <w:object w:dxaOrig="8847" w:dyaOrig="2452" w14:anchorId="646B8664">
          <v:shape id="_x0000_i1026" type="#_x0000_t75" style="width:441.75pt;height:121.5pt" o:ole="">
            <v:imagedata r:id="rId12" o:title=""/>
          </v:shape>
          <o:OLEObject Type="Embed" ProgID="Excel.Sheet.8" ShapeID="_x0000_i1026" DrawAspect="Content" ObjectID="_1572760269" r:id="rId13"/>
        </w:object>
      </w:r>
    </w:p>
    <w:p w14:paraId="41E5339F" w14:textId="77777777" w:rsidR="003C6638" w:rsidRPr="0009718F" w:rsidRDefault="003C6638" w:rsidP="00937FDC">
      <w:pPr>
        <w:pStyle w:val="BodyTextIndent"/>
        <w:rPr>
          <w:sz w:val="16"/>
          <w:szCs w:val="16"/>
          <w:lang w:val="en-US"/>
        </w:rPr>
      </w:pPr>
    </w:p>
    <w:p w14:paraId="1AC3EAA7" w14:textId="15A45E1B" w:rsidR="00195D62" w:rsidRPr="0009718F" w:rsidRDefault="00195D62" w:rsidP="00937FDC">
      <w:pPr>
        <w:pStyle w:val="BodyTextIndent"/>
        <w:rPr>
          <w:sz w:val="16"/>
          <w:szCs w:val="16"/>
          <w:lang w:val="en-US"/>
        </w:rPr>
      </w:pPr>
    </w:p>
    <w:p w14:paraId="690DB8EB" w14:textId="77777777" w:rsidR="00195D62" w:rsidRPr="0009718F" w:rsidRDefault="00195D62" w:rsidP="00937FDC">
      <w:pPr>
        <w:pStyle w:val="BodyTextIndent"/>
        <w:rPr>
          <w:sz w:val="16"/>
          <w:szCs w:val="16"/>
          <w:lang w:val="en-US"/>
        </w:rPr>
      </w:pPr>
    </w:p>
    <w:p w14:paraId="749D387C" w14:textId="77777777" w:rsidR="009464A6" w:rsidRDefault="009464A6" w:rsidP="00A33E20">
      <w:pPr>
        <w:pStyle w:val="BodyTextIndent"/>
        <w:tabs>
          <w:tab w:val="left" w:pos="360"/>
        </w:tabs>
        <w:ind w:left="0"/>
        <w:rPr>
          <w:sz w:val="24"/>
          <w:szCs w:val="24"/>
          <w:lang w:val="en-GB"/>
        </w:rPr>
      </w:pPr>
    </w:p>
    <w:p w14:paraId="4E8CE7A1" w14:textId="77777777" w:rsidR="009464A6" w:rsidRDefault="009464A6" w:rsidP="00A33E20">
      <w:pPr>
        <w:pStyle w:val="BodyTextIndent"/>
        <w:tabs>
          <w:tab w:val="left" w:pos="360"/>
        </w:tabs>
        <w:ind w:left="0"/>
        <w:rPr>
          <w:sz w:val="24"/>
          <w:szCs w:val="24"/>
          <w:lang w:val="en-GB"/>
        </w:rPr>
      </w:pPr>
    </w:p>
    <w:p w14:paraId="0E9EEBA0" w14:textId="77777777" w:rsidR="009464A6" w:rsidRDefault="009464A6" w:rsidP="00A33E20">
      <w:pPr>
        <w:pStyle w:val="BodyTextIndent"/>
        <w:tabs>
          <w:tab w:val="left" w:pos="360"/>
        </w:tabs>
        <w:ind w:left="0"/>
        <w:rPr>
          <w:sz w:val="24"/>
          <w:szCs w:val="24"/>
          <w:lang w:val="en-GB"/>
        </w:rPr>
      </w:pPr>
    </w:p>
    <w:p w14:paraId="01C20E54" w14:textId="77777777" w:rsidR="009464A6" w:rsidRDefault="009464A6" w:rsidP="00A33E20">
      <w:pPr>
        <w:pStyle w:val="BodyTextIndent"/>
        <w:tabs>
          <w:tab w:val="left" w:pos="360"/>
        </w:tabs>
        <w:ind w:left="0"/>
        <w:rPr>
          <w:sz w:val="24"/>
          <w:szCs w:val="24"/>
          <w:lang w:val="en-GB"/>
        </w:rPr>
      </w:pPr>
    </w:p>
    <w:p w14:paraId="0CAC5EA5" w14:textId="77777777" w:rsidR="009464A6" w:rsidRDefault="009464A6" w:rsidP="00A33E20">
      <w:pPr>
        <w:pStyle w:val="BodyTextIndent"/>
        <w:tabs>
          <w:tab w:val="left" w:pos="360"/>
        </w:tabs>
        <w:ind w:left="0"/>
        <w:rPr>
          <w:sz w:val="24"/>
          <w:szCs w:val="24"/>
          <w:lang w:val="en-GB"/>
        </w:rPr>
      </w:pPr>
    </w:p>
    <w:p w14:paraId="4E7C0EAC" w14:textId="210157EA" w:rsidR="00A33E20" w:rsidRPr="0009718F" w:rsidRDefault="00542AB4" w:rsidP="00A33E20">
      <w:pPr>
        <w:pStyle w:val="BodyTextIndent"/>
        <w:tabs>
          <w:tab w:val="left" w:pos="360"/>
        </w:tabs>
        <w:ind w:left="0"/>
        <w:rPr>
          <w:sz w:val="24"/>
          <w:szCs w:val="24"/>
        </w:rPr>
      </w:pPr>
      <w:r w:rsidRPr="0009718F">
        <w:rPr>
          <w:sz w:val="24"/>
          <w:szCs w:val="24"/>
          <w:lang w:val="en-GB"/>
        </w:rPr>
        <w:lastRenderedPageBreak/>
        <w:t>19</w:t>
      </w:r>
      <w:r w:rsidR="00A33E20" w:rsidRPr="0009718F">
        <w:rPr>
          <w:sz w:val="24"/>
          <w:szCs w:val="24"/>
        </w:rPr>
        <w:t xml:space="preserve">. </w:t>
      </w:r>
      <w:r w:rsidR="00A76ABF" w:rsidRPr="0009718F">
        <w:rPr>
          <w:sz w:val="24"/>
          <w:szCs w:val="24"/>
          <w:lang w:val="en-US"/>
        </w:rPr>
        <w:t>LOSS</w:t>
      </w:r>
      <w:r w:rsidR="00A33E20" w:rsidRPr="0009718F">
        <w:rPr>
          <w:sz w:val="24"/>
          <w:szCs w:val="24"/>
        </w:rPr>
        <w:t xml:space="preserve"> FOR THE PERIOD</w:t>
      </w:r>
    </w:p>
    <w:p w14:paraId="084BCDA1" w14:textId="77777777" w:rsidR="00A33E20" w:rsidRPr="0009718F" w:rsidRDefault="00A33E20" w:rsidP="00A33E20">
      <w:pPr>
        <w:pStyle w:val="BodyTextIndent"/>
        <w:tabs>
          <w:tab w:val="left" w:pos="360"/>
        </w:tabs>
        <w:ind w:left="0"/>
        <w:rPr>
          <w:sz w:val="12"/>
          <w:szCs w:val="12"/>
        </w:rPr>
      </w:pPr>
    </w:p>
    <w:p w14:paraId="5F1C579A" w14:textId="77777777" w:rsidR="00A33E20" w:rsidRPr="0009718F" w:rsidRDefault="00A33E20" w:rsidP="00A33E20">
      <w:pPr>
        <w:pStyle w:val="BodyTextIndent"/>
        <w:tabs>
          <w:tab w:val="left" w:pos="360"/>
        </w:tabs>
        <w:ind w:left="0"/>
        <w:rPr>
          <w:sz w:val="24"/>
          <w:szCs w:val="24"/>
        </w:rPr>
      </w:pPr>
      <w:r w:rsidRPr="0009718F">
        <w:rPr>
          <w:sz w:val="24"/>
          <w:szCs w:val="24"/>
        </w:rPr>
        <w:tab/>
      </w:r>
      <w:r w:rsidR="00521349" w:rsidRPr="0009718F">
        <w:rPr>
          <w:sz w:val="24"/>
          <w:szCs w:val="24"/>
          <w:lang w:val="en-US"/>
        </w:rPr>
        <w:t>L</w:t>
      </w:r>
      <w:r w:rsidR="00B63BE8" w:rsidRPr="0009718F">
        <w:rPr>
          <w:sz w:val="24"/>
          <w:szCs w:val="24"/>
          <w:lang w:val="en-US"/>
        </w:rPr>
        <w:t>oss</w:t>
      </w:r>
      <w:r w:rsidR="00B2217E" w:rsidRPr="0009718F">
        <w:rPr>
          <w:sz w:val="24"/>
          <w:szCs w:val="24"/>
        </w:rPr>
        <w:t xml:space="preserve"> </w:t>
      </w:r>
      <w:r w:rsidRPr="0009718F">
        <w:rPr>
          <w:sz w:val="24"/>
          <w:szCs w:val="24"/>
        </w:rPr>
        <w:t>for the period is arrived at after charging/(crediting):</w:t>
      </w:r>
    </w:p>
    <w:p w14:paraId="5D599F09" w14:textId="77777777" w:rsidR="00A33E20" w:rsidRPr="0009718F" w:rsidRDefault="00A33E20" w:rsidP="00A33E20">
      <w:pPr>
        <w:pStyle w:val="BodyTextIndent"/>
        <w:tabs>
          <w:tab w:val="left" w:pos="360"/>
        </w:tabs>
        <w:ind w:left="0"/>
        <w:rPr>
          <w:sz w:val="24"/>
          <w:szCs w:val="24"/>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1418"/>
        <w:gridCol w:w="1417"/>
        <w:gridCol w:w="1418"/>
        <w:gridCol w:w="1417"/>
      </w:tblGrid>
      <w:tr w:rsidR="0009718F" w:rsidRPr="0009718F" w14:paraId="62AFB663" w14:textId="77777777" w:rsidTr="002F5FBF">
        <w:tc>
          <w:tcPr>
            <w:tcW w:w="3118" w:type="dxa"/>
            <w:tcBorders>
              <w:top w:val="nil"/>
              <w:left w:val="nil"/>
              <w:bottom w:val="nil"/>
              <w:right w:val="nil"/>
            </w:tcBorders>
          </w:tcPr>
          <w:p w14:paraId="52371248" w14:textId="77777777" w:rsidR="008E79F3" w:rsidRPr="0009718F" w:rsidRDefault="008E79F3" w:rsidP="00A43E28">
            <w:pPr>
              <w:pStyle w:val="BodyTextIndent"/>
              <w:tabs>
                <w:tab w:val="left" w:pos="360"/>
              </w:tabs>
              <w:ind w:left="0"/>
              <w:rPr>
                <w:sz w:val="24"/>
                <w:szCs w:val="24"/>
                <w:lang w:val="en-US" w:eastAsia="en-US"/>
              </w:rPr>
            </w:pPr>
          </w:p>
        </w:tc>
        <w:tc>
          <w:tcPr>
            <w:tcW w:w="2835" w:type="dxa"/>
            <w:gridSpan w:val="2"/>
            <w:tcBorders>
              <w:top w:val="nil"/>
              <w:left w:val="nil"/>
              <w:bottom w:val="nil"/>
              <w:right w:val="nil"/>
            </w:tcBorders>
          </w:tcPr>
          <w:p w14:paraId="25C53138" w14:textId="77777777" w:rsidR="008E79F3" w:rsidRPr="0009718F" w:rsidRDefault="008E79F3" w:rsidP="00A5320E">
            <w:pPr>
              <w:pStyle w:val="BodyTextIndent"/>
              <w:tabs>
                <w:tab w:val="left" w:pos="360"/>
              </w:tabs>
              <w:ind w:left="0"/>
              <w:jc w:val="center"/>
              <w:rPr>
                <w:sz w:val="24"/>
                <w:szCs w:val="24"/>
                <w:lang w:val="en-US" w:eastAsia="en-US"/>
              </w:rPr>
            </w:pPr>
            <w:r w:rsidRPr="0009718F">
              <w:rPr>
                <w:sz w:val="24"/>
                <w:szCs w:val="24"/>
                <w:lang w:val="en-US" w:eastAsia="en-US"/>
              </w:rPr>
              <w:t>3 months ended</w:t>
            </w:r>
          </w:p>
        </w:tc>
        <w:tc>
          <w:tcPr>
            <w:tcW w:w="2835" w:type="dxa"/>
            <w:gridSpan w:val="2"/>
            <w:tcBorders>
              <w:top w:val="nil"/>
              <w:left w:val="nil"/>
              <w:bottom w:val="nil"/>
              <w:right w:val="nil"/>
            </w:tcBorders>
          </w:tcPr>
          <w:p w14:paraId="18FDFBC0" w14:textId="1AC25A8C" w:rsidR="008E79F3" w:rsidRPr="0009718F" w:rsidRDefault="009568C1" w:rsidP="009B45AA">
            <w:pPr>
              <w:pStyle w:val="BodyTextIndent"/>
              <w:tabs>
                <w:tab w:val="left" w:pos="360"/>
              </w:tabs>
              <w:ind w:left="0"/>
              <w:jc w:val="center"/>
              <w:rPr>
                <w:sz w:val="24"/>
                <w:szCs w:val="24"/>
                <w:lang w:val="en-US" w:eastAsia="en-US"/>
              </w:rPr>
            </w:pPr>
            <w:r w:rsidRPr="0009718F">
              <w:rPr>
                <w:sz w:val="24"/>
                <w:szCs w:val="24"/>
                <w:lang w:val="en-US" w:eastAsia="en-US"/>
              </w:rPr>
              <w:t xml:space="preserve">9 </w:t>
            </w:r>
            <w:r w:rsidR="009B45AA" w:rsidRPr="0009718F">
              <w:rPr>
                <w:sz w:val="24"/>
                <w:szCs w:val="24"/>
                <w:lang w:val="en-US" w:eastAsia="en-US"/>
              </w:rPr>
              <w:t>months ended</w:t>
            </w:r>
          </w:p>
        </w:tc>
      </w:tr>
      <w:tr w:rsidR="0009718F" w:rsidRPr="0009718F" w14:paraId="5CB70EC9" w14:textId="77777777" w:rsidTr="002F5FBF">
        <w:tc>
          <w:tcPr>
            <w:tcW w:w="3118" w:type="dxa"/>
            <w:tcBorders>
              <w:top w:val="nil"/>
              <w:left w:val="nil"/>
              <w:bottom w:val="nil"/>
              <w:right w:val="nil"/>
            </w:tcBorders>
          </w:tcPr>
          <w:p w14:paraId="09F4D24E" w14:textId="771E345C" w:rsidR="009B45AA" w:rsidRPr="0009718F" w:rsidRDefault="009B45AA" w:rsidP="009B45AA">
            <w:pPr>
              <w:pStyle w:val="BodyTextIndent"/>
              <w:tabs>
                <w:tab w:val="left" w:pos="360"/>
              </w:tabs>
              <w:ind w:left="0"/>
              <w:rPr>
                <w:sz w:val="24"/>
                <w:szCs w:val="24"/>
                <w:lang w:val="en-US" w:eastAsia="en-US"/>
              </w:rPr>
            </w:pPr>
          </w:p>
        </w:tc>
        <w:tc>
          <w:tcPr>
            <w:tcW w:w="1418" w:type="dxa"/>
            <w:tcBorders>
              <w:top w:val="nil"/>
              <w:left w:val="nil"/>
              <w:bottom w:val="nil"/>
              <w:right w:val="nil"/>
            </w:tcBorders>
          </w:tcPr>
          <w:p w14:paraId="1034A1C0" w14:textId="2D185B64" w:rsidR="009B45AA" w:rsidRPr="0009718F" w:rsidRDefault="009B45AA" w:rsidP="009B45AA">
            <w:pPr>
              <w:pStyle w:val="BodyTextIndent"/>
              <w:tabs>
                <w:tab w:val="left" w:pos="360"/>
              </w:tabs>
              <w:ind w:left="0"/>
              <w:jc w:val="center"/>
              <w:rPr>
                <w:sz w:val="24"/>
                <w:szCs w:val="24"/>
                <w:lang w:val="en-US" w:eastAsia="en-US"/>
              </w:rPr>
            </w:pPr>
            <w:r w:rsidRPr="0009718F">
              <w:rPr>
                <w:sz w:val="24"/>
                <w:szCs w:val="24"/>
                <w:lang w:val="en-US" w:eastAsia="en-US"/>
              </w:rPr>
              <w:t>30</w:t>
            </w:r>
            <w:r w:rsidR="009568C1" w:rsidRPr="0009718F">
              <w:rPr>
                <w:sz w:val="24"/>
                <w:szCs w:val="24"/>
                <w:lang w:val="en-US" w:eastAsia="en-US"/>
              </w:rPr>
              <w:t>.09.</w:t>
            </w:r>
            <w:r w:rsidRPr="0009718F">
              <w:rPr>
                <w:sz w:val="24"/>
                <w:szCs w:val="24"/>
                <w:lang w:val="en-US" w:eastAsia="en-US"/>
              </w:rPr>
              <w:t>2017</w:t>
            </w:r>
          </w:p>
          <w:p w14:paraId="4E2E0B0E" w14:textId="77777777" w:rsidR="009B45AA" w:rsidRPr="0009718F" w:rsidRDefault="009B45AA" w:rsidP="009B45AA">
            <w:pPr>
              <w:pStyle w:val="BodyTextIndent"/>
              <w:tabs>
                <w:tab w:val="left" w:pos="360"/>
              </w:tabs>
              <w:ind w:left="0"/>
              <w:jc w:val="center"/>
              <w:rPr>
                <w:sz w:val="24"/>
                <w:szCs w:val="24"/>
                <w:lang w:val="en-US" w:eastAsia="en-US"/>
              </w:rPr>
            </w:pPr>
            <w:r w:rsidRPr="0009718F">
              <w:rPr>
                <w:sz w:val="24"/>
                <w:szCs w:val="24"/>
                <w:lang w:val="en-US" w:eastAsia="en-US"/>
              </w:rPr>
              <w:t>RM’000</w:t>
            </w:r>
          </w:p>
        </w:tc>
        <w:tc>
          <w:tcPr>
            <w:tcW w:w="1417" w:type="dxa"/>
            <w:tcBorders>
              <w:top w:val="nil"/>
              <w:left w:val="nil"/>
              <w:bottom w:val="nil"/>
              <w:right w:val="nil"/>
            </w:tcBorders>
          </w:tcPr>
          <w:p w14:paraId="576AFCCA" w14:textId="1A76DD74" w:rsidR="009B45AA" w:rsidRPr="0009718F" w:rsidRDefault="009B45AA" w:rsidP="009B45AA">
            <w:pPr>
              <w:pStyle w:val="BodyTextIndent"/>
              <w:tabs>
                <w:tab w:val="left" w:pos="360"/>
              </w:tabs>
              <w:ind w:left="0"/>
              <w:jc w:val="center"/>
              <w:rPr>
                <w:sz w:val="24"/>
                <w:szCs w:val="24"/>
                <w:lang w:val="en-US" w:eastAsia="en-US"/>
              </w:rPr>
            </w:pPr>
            <w:r w:rsidRPr="0009718F">
              <w:rPr>
                <w:sz w:val="24"/>
                <w:szCs w:val="24"/>
                <w:lang w:val="en-US" w:eastAsia="en-US"/>
              </w:rPr>
              <w:t>30</w:t>
            </w:r>
            <w:r w:rsidR="009568C1" w:rsidRPr="0009718F">
              <w:rPr>
                <w:sz w:val="24"/>
                <w:szCs w:val="24"/>
                <w:lang w:val="en-US" w:eastAsia="en-US"/>
              </w:rPr>
              <w:t>.09.</w:t>
            </w:r>
            <w:r w:rsidRPr="0009718F">
              <w:rPr>
                <w:sz w:val="24"/>
                <w:szCs w:val="24"/>
                <w:lang w:val="en-US" w:eastAsia="en-US"/>
              </w:rPr>
              <w:t>2016</w:t>
            </w:r>
          </w:p>
          <w:p w14:paraId="3E70B005" w14:textId="77777777" w:rsidR="009B45AA" w:rsidRPr="0009718F" w:rsidRDefault="009B45AA" w:rsidP="009B45AA">
            <w:pPr>
              <w:pStyle w:val="BodyTextIndent"/>
              <w:tabs>
                <w:tab w:val="left" w:pos="360"/>
              </w:tabs>
              <w:ind w:left="0"/>
              <w:jc w:val="center"/>
              <w:rPr>
                <w:sz w:val="24"/>
                <w:szCs w:val="24"/>
                <w:lang w:val="en-US" w:eastAsia="en-US"/>
              </w:rPr>
            </w:pPr>
            <w:r w:rsidRPr="0009718F">
              <w:rPr>
                <w:sz w:val="24"/>
                <w:szCs w:val="24"/>
                <w:lang w:val="en-US" w:eastAsia="en-US"/>
              </w:rPr>
              <w:t>RM’000</w:t>
            </w:r>
          </w:p>
        </w:tc>
        <w:tc>
          <w:tcPr>
            <w:tcW w:w="1418" w:type="dxa"/>
            <w:tcBorders>
              <w:top w:val="nil"/>
              <w:left w:val="nil"/>
              <w:bottom w:val="nil"/>
              <w:right w:val="nil"/>
            </w:tcBorders>
          </w:tcPr>
          <w:p w14:paraId="499F7146" w14:textId="5D1A619D" w:rsidR="009B45AA" w:rsidRPr="0009718F" w:rsidRDefault="009B45AA" w:rsidP="009B45AA">
            <w:pPr>
              <w:pStyle w:val="BodyTextIndent"/>
              <w:tabs>
                <w:tab w:val="left" w:pos="360"/>
              </w:tabs>
              <w:ind w:left="0"/>
              <w:jc w:val="center"/>
              <w:rPr>
                <w:sz w:val="24"/>
                <w:szCs w:val="24"/>
                <w:lang w:val="en-US" w:eastAsia="en-US"/>
              </w:rPr>
            </w:pPr>
            <w:r w:rsidRPr="0009718F">
              <w:rPr>
                <w:sz w:val="24"/>
                <w:szCs w:val="24"/>
                <w:lang w:val="en-US" w:eastAsia="en-US"/>
              </w:rPr>
              <w:t>30</w:t>
            </w:r>
            <w:r w:rsidR="009568C1" w:rsidRPr="0009718F">
              <w:rPr>
                <w:sz w:val="24"/>
                <w:szCs w:val="24"/>
                <w:lang w:val="en-US" w:eastAsia="en-US"/>
              </w:rPr>
              <w:t>.09.</w:t>
            </w:r>
            <w:r w:rsidRPr="0009718F">
              <w:rPr>
                <w:sz w:val="24"/>
                <w:szCs w:val="24"/>
                <w:lang w:val="en-US" w:eastAsia="en-US"/>
              </w:rPr>
              <w:t>2017</w:t>
            </w:r>
          </w:p>
          <w:p w14:paraId="78D58AA1" w14:textId="04C96B17" w:rsidR="009B45AA" w:rsidRPr="0009718F" w:rsidRDefault="009B45AA" w:rsidP="009B45AA">
            <w:pPr>
              <w:pStyle w:val="BodyTextIndent"/>
              <w:tabs>
                <w:tab w:val="left" w:pos="360"/>
              </w:tabs>
              <w:ind w:left="0"/>
              <w:jc w:val="center"/>
              <w:rPr>
                <w:sz w:val="24"/>
                <w:szCs w:val="24"/>
                <w:lang w:val="en-US" w:eastAsia="en-US"/>
              </w:rPr>
            </w:pPr>
            <w:r w:rsidRPr="0009718F">
              <w:rPr>
                <w:sz w:val="24"/>
                <w:szCs w:val="24"/>
                <w:lang w:val="en-US" w:eastAsia="en-US"/>
              </w:rPr>
              <w:t>RM’000</w:t>
            </w:r>
          </w:p>
        </w:tc>
        <w:tc>
          <w:tcPr>
            <w:tcW w:w="1417" w:type="dxa"/>
            <w:tcBorders>
              <w:top w:val="nil"/>
              <w:left w:val="nil"/>
              <w:bottom w:val="nil"/>
              <w:right w:val="nil"/>
            </w:tcBorders>
          </w:tcPr>
          <w:p w14:paraId="3E1E10F8" w14:textId="581F9FE5" w:rsidR="009B45AA" w:rsidRPr="0009718F" w:rsidRDefault="009B45AA" w:rsidP="009B45AA">
            <w:pPr>
              <w:pStyle w:val="BodyTextIndent"/>
              <w:tabs>
                <w:tab w:val="left" w:pos="360"/>
              </w:tabs>
              <w:ind w:left="0"/>
              <w:jc w:val="center"/>
              <w:rPr>
                <w:sz w:val="24"/>
                <w:szCs w:val="24"/>
                <w:lang w:val="en-US" w:eastAsia="en-US"/>
              </w:rPr>
            </w:pPr>
            <w:r w:rsidRPr="0009718F">
              <w:rPr>
                <w:sz w:val="24"/>
                <w:szCs w:val="24"/>
                <w:lang w:val="en-US" w:eastAsia="en-US"/>
              </w:rPr>
              <w:t>30</w:t>
            </w:r>
            <w:r w:rsidR="009568C1" w:rsidRPr="0009718F">
              <w:rPr>
                <w:sz w:val="24"/>
                <w:szCs w:val="24"/>
                <w:lang w:val="en-US" w:eastAsia="en-US"/>
              </w:rPr>
              <w:t>.09.</w:t>
            </w:r>
            <w:r w:rsidRPr="0009718F">
              <w:rPr>
                <w:sz w:val="24"/>
                <w:szCs w:val="24"/>
                <w:lang w:val="en-US" w:eastAsia="en-US"/>
              </w:rPr>
              <w:t>2016</w:t>
            </w:r>
          </w:p>
          <w:p w14:paraId="7309DED9" w14:textId="227DDC1A" w:rsidR="009B45AA" w:rsidRPr="0009718F" w:rsidRDefault="009B45AA" w:rsidP="009B45AA">
            <w:pPr>
              <w:pStyle w:val="BodyTextIndent"/>
              <w:tabs>
                <w:tab w:val="left" w:pos="360"/>
              </w:tabs>
              <w:ind w:left="0"/>
              <w:jc w:val="center"/>
              <w:rPr>
                <w:sz w:val="24"/>
                <w:szCs w:val="24"/>
                <w:lang w:val="en-US" w:eastAsia="en-US"/>
              </w:rPr>
            </w:pPr>
            <w:r w:rsidRPr="0009718F">
              <w:rPr>
                <w:sz w:val="24"/>
                <w:szCs w:val="24"/>
                <w:lang w:val="en-US" w:eastAsia="en-US"/>
              </w:rPr>
              <w:t>RM’000</w:t>
            </w:r>
          </w:p>
        </w:tc>
      </w:tr>
      <w:tr w:rsidR="0009718F" w:rsidRPr="0009718F" w14:paraId="6A30B81C" w14:textId="77777777" w:rsidTr="002F5FBF">
        <w:tc>
          <w:tcPr>
            <w:tcW w:w="3118" w:type="dxa"/>
            <w:tcBorders>
              <w:top w:val="nil"/>
              <w:left w:val="nil"/>
              <w:bottom w:val="nil"/>
              <w:right w:val="nil"/>
            </w:tcBorders>
          </w:tcPr>
          <w:p w14:paraId="75BF1AD8" w14:textId="7777777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Interest income</w:t>
            </w:r>
          </w:p>
        </w:tc>
        <w:tc>
          <w:tcPr>
            <w:tcW w:w="1418" w:type="dxa"/>
            <w:tcBorders>
              <w:top w:val="nil"/>
              <w:left w:val="nil"/>
              <w:bottom w:val="nil"/>
              <w:right w:val="nil"/>
            </w:tcBorders>
          </w:tcPr>
          <w:p w14:paraId="3F75CAE7" w14:textId="3ACEC673" w:rsidR="009568C1" w:rsidRPr="0009718F" w:rsidRDefault="00E02F48" w:rsidP="00E02F48">
            <w:pPr>
              <w:pStyle w:val="BodyTextIndent"/>
              <w:tabs>
                <w:tab w:val="left" w:pos="360"/>
              </w:tabs>
              <w:ind w:left="0"/>
              <w:jc w:val="right"/>
              <w:rPr>
                <w:sz w:val="24"/>
                <w:szCs w:val="24"/>
                <w:lang w:val="en-US" w:eastAsia="en-US"/>
              </w:rPr>
            </w:pPr>
            <w:r>
              <w:rPr>
                <w:sz w:val="24"/>
                <w:szCs w:val="24"/>
                <w:lang w:val="en-US" w:eastAsia="en-US"/>
              </w:rPr>
              <w:t>-</w:t>
            </w:r>
          </w:p>
        </w:tc>
        <w:tc>
          <w:tcPr>
            <w:tcW w:w="1417" w:type="dxa"/>
            <w:tcBorders>
              <w:top w:val="nil"/>
              <w:left w:val="nil"/>
              <w:bottom w:val="nil"/>
              <w:right w:val="nil"/>
            </w:tcBorders>
          </w:tcPr>
          <w:p w14:paraId="24F5D244" w14:textId="7B9AABDA" w:rsidR="009B45AA" w:rsidRPr="0009718F" w:rsidRDefault="009568C1" w:rsidP="009B45AA">
            <w:pPr>
              <w:pStyle w:val="BodyTextIndent"/>
              <w:tabs>
                <w:tab w:val="left" w:pos="360"/>
              </w:tabs>
              <w:ind w:left="0"/>
              <w:jc w:val="right"/>
              <w:rPr>
                <w:sz w:val="24"/>
                <w:szCs w:val="24"/>
                <w:lang w:val="en-US" w:eastAsia="en-US"/>
              </w:rPr>
            </w:pPr>
            <w:r w:rsidRPr="0009718F">
              <w:rPr>
                <w:sz w:val="24"/>
                <w:szCs w:val="24"/>
                <w:lang w:val="en-US" w:eastAsia="en-US"/>
              </w:rPr>
              <w:t>(51)</w:t>
            </w:r>
          </w:p>
        </w:tc>
        <w:tc>
          <w:tcPr>
            <w:tcW w:w="1418" w:type="dxa"/>
            <w:tcBorders>
              <w:top w:val="nil"/>
              <w:left w:val="nil"/>
              <w:bottom w:val="nil"/>
              <w:right w:val="nil"/>
            </w:tcBorders>
          </w:tcPr>
          <w:p w14:paraId="05904616" w14:textId="2D33F24B" w:rsidR="009B45AA" w:rsidRPr="0009718F" w:rsidRDefault="00DC51A0" w:rsidP="009B45AA">
            <w:pPr>
              <w:pStyle w:val="BodyTextIndent"/>
              <w:tabs>
                <w:tab w:val="left" w:pos="360"/>
              </w:tabs>
              <w:ind w:left="0"/>
              <w:jc w:val="right"/>
              <w:rPr>
                <w:sz w:val="24"/>
                <w:szCs w:val="24"/>
                <w:lang w:val="en-US" w:eastAsia="en-US"/>
              </w:rPr>
            </w:pPr>
            <w:r w:rsidRPr="0009718F">
              <w:rPr>
                <w:sz w:val="24"/>
                <w:szCs w:val="24"/>
                <w:lang w:val="en-US" w:eastAsia="en-US"/>
              </w:rPr>
              <w:t>(227)</w:t>
            </w:r>
          </w:p>
        </w:tc>
        <w:tc>
          <w:tcPr>
            <w:tcW w:w="1417" w:type="dxa"/>
            <w:tcBorders>
              <w:top w:val="nil"/>
              <w:left w:val="nil"/>
              <w:bottom w:val="nil"/>
              <w:right w:val="nil"/>
            </w:tcBorders>
          </w:tcPr>
          <w:p w14:paraId="0ADD6322" w14:textId="77BFB74A" w:rsidR="009B45AA" w:rsidRPr="0009718F" w:rsidRDefault="009568C1" w:rsidP="009B45AA">
            <w:pPr>
              <w:pStyle w:val="BodyTextIndent"/>
              <w:tabs>
                <w:tab w:val="left" w:pos="360"/>
              </w:tabs>
              <w:ind w:left="0"/>
              <w:jc w:val="right"/>
              <w:rPr>
                <w:sz w:val="24"/>
                <w:szCs w:val="24"/>
                <w:lang w:val="en-US" w:eastAsia="en-US"/>
              </w:rPr>
            </w:pPr>
            <w:r w:rsidRPr="0009718F">
              <w:rPr>
                <w:sz w:val="24"/>
                <w:szCs w:val="24"/>
                <w:lang w:val="en-US" w:eastAsia="en-US"/>
              </w:rPr>
              <w:t>(161)</w:t>
            </w:r>
          </w:p>
        </w:tc>
      </w:tr>
      <w:tr w:rsidR="0009718F" w:rsidRPr="0009718F" w14:paraId="7A734B9E" w14:textId="77777777" w:rsidTr="002F5FBF">
        <w:tc>
          <w:tcPr>
            <w:tcW w:w="3118" w:type="dxa"/>
            <w:tcBorders>
              <w:top w:val="nil"/>
              <w:left w:val="nil"/>
              <w:bottom w:val="nil"/>
              <w:right w:val="nil"/>
            </w:tcBorders>
          </w:tcPr>
          <w:p w14:paraId="6A14032E" w14:textId="77FB9749"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Other income including</w:t>
            </w:r>
          </w:p>
          <w:p w14:paraId="1CCAE2F7" w14:textId="7777777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     investment income</w:t>
            </w:r>
          </w:p>
        </w:tc>
        <w:tc>
          <w:tcPr>
            <w:tcW w:w="1418" w:type="dxa"/>
            <w:tcBorders>
              <w:top w:val="nil"/>
              <w:left w:val="nil"/>
              <w:bottom w:val="nil"/>
              <w:right w:val="nil"/>
            </w:tcBorders>
          </w:tcPr>
          <w:p w14:paraId="2E71DCBF" w14:textId="77777777" w:rsidR="009B45AA" w:rsidRPr="0009718F" w:rsidRDefault="009B45AA" w:rsidP="009B45AA">
            <w:pPr>
              <w:pStyle w:val="BodyTextIndent"/>
              <w:tabs>
                <w:tab w:val="left" w:pos="360"/>
              </w:tabs>
              <w:ind w:left="0"/>
              <w:jc w:val="right"/>
              <w:rPr>
                <w:sz w:val="24"/>
                <w:szCs w:val="24"/>
                <w:lang w:val="en-US" w:eastAsia="en-US"/>
              </w:rPr>
            </w:pPr>
          </w:p>
          <w:p w14:paraId="612E5C02" w14:textId="77777777"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4A8CA3A6" w14:textId="77777777" w:rsidR="009B45AA" w:rsidRPr="0009718F" w:rsidRDefault="009B45AA" w:rsidP="009B45AA">
            <w:pPr>
              <w:pStyle w:val="BodyTextIndent"/>
              <w:tabs>
                <w:tab w:val="left" w:pos="360"/>
              </w:tabs>
              <w:ind w:left="0"/>
              <w:jc w:val="right"/>
              <w:rPr>
                <w:sz w:val="24"/>
                <w:szCs w:val="24"/>
                <w:lang w:val="en-US" w:eastAsia="en-US"/>
              </w:rPr>
            </w:pPr>
          </w:p>
          <w:p w14:paraId="106EF8DD" w14:textId="77777777"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8" w:type="dxa"/>
            <w:tcBorders>
              <w:top w:val="nil"/>
              <w:left w:val="nil"/>
              <w:bottom w:val="nil"/>
              <w:right w:val="nil"/>
            </w:tcBorders>
          </w:tcPr>
          <w:p w14:paraId="25ADB1C1" w14:textId="77777777" w:rsidR="009B45AA" w:rsidRPr="0009718F" w:rsidRDefault="009B45AA" w:rsidP="009B45AA">
            <w:pPr>
              <w:pStyle w:val="BodyTextIndent"/>
              <w:tabs>
                <w:tab w:val="left" w:pos="360"/>
              </w:tabs>
              <w:ind w:left="0"/>
              <w:jc w:val="right"/>
              <w:rPr>
                <w:sz w:val="24"/>
                <w:szCs w:val="24"/>
                <w:lang w:val="en-US" w:eastAsia="en-US"/>
              </w:rPr>
            </w:pPr>
          </w:p>
          <w:p w14:paraId="26E7CEAA" w14:textId="13891188"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1F1B4684" w14:textId="77777777" w:rsidR="009B45AA" w:rsidRPr="0009718F" w:rsidRDefault="009B45AA" w:rsidP="009B45AA">
            <w:pPr>
              <w:pStyle w:val="BodyTextIndent"/>
              <w:tabs>
                <w:tab w:val="left" w:pos="360"/>
              </w:tabs>
              <w:ind w:left="0"/>
              <w:jc w:val="right"/>
              <w:rPr>
                <w:sz w:val="24"/>
                <w:szCs w:val="24"/>
                <w:lang w:val="en-US" w:eastAsia="en-US"/>
              </w:rPr>
            </w:pPr>
          </w:p>
          <w:p w14:paraId="07C3B7EA" w14:textId="785BE20A"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r>
      <w:tr w:rsidR="0009718F" w:rsidRPr="0009718F" w14:paraId="73397452" w14:textId="77777777" w:rsidTr="00721B47">
        <w:tc>
          <w:tcPr>
            <w:tcW w:w="3118" w:type="dxa"/>
            <w:tcBorders>
              <w:top w:val="nil"/>
              <w:left w:val="nil"/>
              <w:bottom w:val="nil"/>
              <w:right w:val="nil"/>
            </w:tcBorders>
          </w:tcPr>
          <w:p w14:paraId="3428F4C5" w14:textId="65B553C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Finance costs</w:t>
            </w:r>
          </w:p>
        </w:tc>
        <w:tc>
          <w:tcPr>
            <w:tcW w:w="1418" w:type="dxa"/>
            <w:tcBorders>
              <w:top w:val="nil"/>
              <w:left w:val="nil"/>
              <w:bottom w:val="nil"/>
              <w:right w:val="nil"/>
            </w:tcBorders>
          </w:tcPr>
          <w:p w14:paraId="2242F386" w14:textId="10E77DB5" w:rsidR="009B45AA" w:rsidRPr="0009718F" w:rsidRDefault="009568C1" w:rsidP="009B45AA">
            <w:pPr>
              <w:pStyle w:val="BodyTextIndent"/>
              <w:tabs>
                <w:tab w:val="left" w:pos="360"/>
              </w:tabs>
              <w:ind w:left="0"/>
              <w:jc w:val="right"/>
              <w:rPr>
                <w:sz w:val="24"/>
                <w:szCs w:val="24"/>
                <w:lang w:val="en-US" w:eastAsia="en-US"/>
              </w:rPr>
            </w:pPr>
            <w:r w:rsidRPr="0009718F">
              <w:rPr>
                <w:sz w:val="24"/>
                <w:szCs w:val="24"/>
                <w:lang w:val="en-US" w:eastAsia="en-US"/>
              </w:rPr>
              <w:t>346</w:t>
            </w:r>
          </w:p>
        </w:tc>
        <w:tc>
          <w:tcPr>
            <w:tcW w:w="1417" w:type="dxa"/>
            <w:tcBorders>
              <w:top w:val="nil"/>
              <w:left w:val="nil"/>
              <w:bottom w:val="nil"/>
              <w:right w:val="nil"/>
            </w:tcBorders>
          </w:tcPr>
          <w:p w14:paraId="7D8519DE" w14:textId="1BCE4AEB" w:rsidR="009B45AA" w:rsidRPr="0009718F" w:rsidRDefault="009568C1" w:rsidP="009B45AA">
            <w:pPr>
              <w:pStyle w:val="BodyTextIndent"/>
              <w:tabs>
                <w:tab w:val="left" w:pos="360"/>
              </w:tabs>
              <w:ind w:left="0"/>
              <w:jc w:val="right"/>
              <w:rPr>
                <w:sz w:val="24"/>
                <w:szCs w:val="24"/>
                <w:lang w:val="en-US" w:eastAsia="en-US"/>
              </w:rPr>
            </w:pPr>
            <w:r w:rsidRPr="0009718F">
              <w:rPr>
                <w:sz w:val="24"/>
                <w:szCs w:val="24"/>
                <w:lang w:val="en-US" w:eastAsia="en-US"/>
              </w:rPr>
              <w:t>497</w:t>
            </w:r>
          </w:p>
        </w:tc>
        <w:tc>
          <w:tcPr>
            <w:tcW w:w="1418" w:type="dxa"/>
            <w:tcBorders>
              <w:top w:val="nil"/>
              <w:left w:val="nil"/>
              <w:bottom w:val="nil"/>
              <w:right w:val="nil"/>
            </w:tcBorders>
          </w:tcPr>
          <w:p w14:paraId="763E50B5" w14:textId="37D287F5" w:rsidR="009B45AA" w:rsidRPr="0009718F" w:rsidRDefault="009568C1" w:rsidP="009534BC">
            <w:pPr>
              <w:pStyle w:val="BodyTextIndent"/>
              <w:tabs>
                <w:tab w:val="left" w:pos="360"/>
              </w:tabs>
              <w:ind w:left="0"/>
              <w:jc w:val="right"/>
              <w:rPr>
                <w:sz w:val="24"/>
                <w:szCs w:val="24"/>
                <w:lang w:val="en-US" w:eastAsia="en-US"/>
              </w:rPr>
            </w:pPr>
            <w:r w:rsidRPr="0009718F">
              <w:rPr>
                <w:sz w:val="24"/>
                <w:szCs w:val="24"/>
                <w:lang w:val="en-US" w:eastAsia="en-US"/>
              </w:rPr>
              <w:t>1</w:t>
            </w:r>
            <w:r w:rsidR="00A31526">
              <w:rPr>
                <w:sz w:val="24"/>
                <w:szCs w:val="24"/>
                <w:lang w:val="en-US" w:eastAsia="en-US"/>
              </w:rPr>
              <w:t>,</w:t>
            </w:r>
            <w:r w:rsidRPr="0009718F">
              <w:rPr>
                <w:sz w:val="24"/>
                <w:szCs w:val="24"/>
                <w:lang w:val="en-US" w:eastAsia="en-US"/>
              </w:rPr>
              <w:t>393</w:t>
            </w:r>
          </w:p>
        </w:tc>
        <w:tc>
          <w:tcPr>
            <w:tcW w:w="1417" w:type="dxa"/>
            <w:tcBorders>
              <w:top w:val="nil"/>
              <w:left w:val="nil"/>
              <w:bottom w:val="nil"/>
              <w:right w:val="nil"/>
            </w:tcBorders>
          </w:tcPr>
          <w:p w14:paraId="4FAB21B8" w14:textId="22B6A4B0" w:rsidR="009B45AA" w:rsidRPr="0009718F" w:rsidRDefault="009568C1" w:rsidP="009B45AA">
            <w:pPr>
              <w:pStyle w:val="BodyTextIndent"/>
              <w:tabs>
                <w:tab w:val="left" w:pos="360"/>
              </w:tabs>
              <w:ind w:left="0"/>
              <w:jc w:val="right"/>
              <w:rPr>
                <w:sz w:val="24"/>
                <w:szCs w:val="24"/>
                <w:lang w:val="en-US" w:eastAsia="en-US"/>
              </w:rPr>
            </w:pPr>
            <w:r w:rsidRPr="0009718F">
              <w:rPr>
                <w:sz w:val="24"/>
                <w:szCs w:val="24"/>
                <w:lang w:val="en-US" w:eastAsia="en-US"/>
              </w:rPr>
              <w:t>1</w:t>
            </w:r>
            <w:r w:rsidR="00A31526">
              <w:rPr>
                <w:sz w:val="24"/>
                <w:szCs w:val="24"/>
                <w:lang w:val="en-US" w:eastAsia="en-US"/>
              </w:rPr>
              <w:t>,</w:t>
            </w:r>
            <w:r w:rsidRPr="0009718F">
              <w:rPr>
                <w:sz w:val="24"/>
                <w:szCs w:val="24"/>
                <w:lang w:val="en-US" w:eastAsia="en-US"/>
              </w:rPr>
              <w:t>607</w:t>
            </w:r>
          </w:p>
        </w:tc>
      </w:tr>
      <w:tr w:rsidR="0009718F" w:rsidRPr="0009718F" w14:paraId="6C61AA24" w14:textId="77777777" w:rsidTr="00721B47">
        <w:tc>
          <w:tcPr>
            <w:tcW w:w="3118" w:type="dxa"/>
            <w:tcBorders>
              <w:top w:val="nil"/>
              <w:left w:val="nil"/>
              <w:bottom w:val="nil"/>
              <w:right w:val="nil"/>
            </w:tcBorders>
            <w:shd w:val="clear" w:color="auto" w:fill="auto"/>
          </w:tcPr>
          <w:p w14:paraId="7E305DE1" w14:textId="7066B2D0"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Depreciation and</w:t>
            </w:r>
          </w:p>
          <w:p w14:paraId="208E76C1" w14:textId="7777777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    amortization</w:t>
            </w:r>
          </w:p>
        </w:tc>
        <w:tc>
          <w:tcPr>
            <w:tcW w:w="1418" w:type="dxa"/>
            <w:tcBorders>
              <w:top w:val="nil"/>
              <w:left w:val="nil"/>
              <w:bottom w:val="nil"/>
              <w:right w:val="nil"/>
            </w:tcBorders>
            <w:shd w:val="clear" w:color="auto" w:fill="auto"/>
          </w:tcPr>
          <w:p w14:paraId="6E5355D6" w14:textId="3D5C7178" w:rsidR="00DC51A0" w:rsidRPr="0009718F" w:rsidRDefault="00616203" w:rsidP="00DC51A0">
            <w:pPr>
              <w:pStyle w:val="BodyTextIndent"/>
              <w:tabs>
                <w:tab w:val="left" w:pos="360"/>
              </w:tabs>
              <w:ind w:left="0"/>
              <w:jc w:val="right"/>
              <w:rPr>
                <w:sz w:val="24"/>
                <w:szCs w:val="24"/>
                <w:lang w:val="en-US" w:eastAsia="en-US"/>
              </w:rPr>
            </w:pPr>
            <w:r>
              <w:rPr>
                <w:sz w:val="24"/>
                <w:szCs w:val="24"/>
                <w:lang w:val="en-US" w:eastAsia="en-US"/>
              </w:rPr>
              <w:t>403</w:t>
            </w:r>
          </w:p>
        </w:tc>
        <w:tc>
          <w:tcPr>
            <w:tcW w:w="1417" w:type="dxa"/>
            <w:tcBorders>
              <w:top w:val="nil"/>
              <w:left w:val="nil"/>
              <w:bottom w:val="nil"/>
              <w:right w:val="nil"/>
            </w:tcBorders>
            <w:shd w:val="clear" w:color="auto" w:fill="auto"/>
          </w:tcPr>
          <w:p w14:paraId="3706708C" w14:textId="2A3C530D" w:rsidR="009B45AA" w:rsidRPr="0009718F" w:rsidRDefault="00A31526" w:rsidP="009B45AA">
            <w:pPr>
              <w:pStyle w:val="BodyTextIndent"/>
              <w:tabs>
                <w:tab w:val="left" w:pos="360"/>
              </w:tabs>
              <w:ind w:left="0"/>
              <w:jc w:val="right"/>
              <w:rPr>
                <w:sz w:val="24"/>
                <w:szCs w:val="24"/>
                <w:lang w:val="en-US" w:eastAsia="en-US"/>
              </w:rPr>
            </w:pPr>
            <w:r>
              <w:rPr>
                <w:sz w:val="24"/>
                <w:szCs w:val="24"/>
                <w:lang w:val="en-US" w:eastAsia="en-US"/>
              </w:rPr>
              <w:t>506</w:t>
            </w:r>
          </w:p>
        </w:tc>
        <w:tc>
          <w:tcPr>
            <w:tcW w:w="1418" w:type="dxa"/>
            <w:tcBorders>
              <w:top w:val="nil"/>
              <w:left w:val="nil"/>
              <w:bottom w:val="nil"/>
              <w:right w:val="nil"/>
            </w:tcBorders>
            <w:shd w:val="clear" w:color="auto" w:fill="auto"/>
          </w:tcPr>
          <w:p w14:paraId="7F5D0791" w14:textId="7A33ADBB" w:rsidR="00DC51A0" w:rsidRPr="0009718F" w:rsidRDefault="009568C1" w:rsidP="00616203">
            <w:pPr>
              <w:pStyle w:val="BodyTextIndent"/>
              <w:tabs>
                <w:tab w:val="left" w:pos="360"/>
              </w:tabs>
              <w:ind w:left="0"/>
              <w:jc w:val="right"/>
              <w:rPr>
                <w:sz w:val="24"/>
                <w:szCs w:val="24"/>
                <w:lang w:val="en-US" w:eastAsia="en-US"/>
              </w:rPr>
            </w:pPr>
            <w:r w:rsidRPr="0009718F">
              <w:rPr>
                <w:sz w:val="24"/>
                <w:szCs w:val="24"/>
                <w:lang w:val="en-US" w:eastAsia="en-US"/>
              </w:rPr>
              <w:t>1,</w:t>
            </w:r>
            <w:r w:rsidR="00FB188C">
              <w:rPr>
                <w:sz w:val="24"/>
                <w:szCs w:val="24"/>
                <w:lang w:val="en-US" w:eastAsia="en-US"/>
              </w:rPr>
              <w:t>3</w:t>
            </w:r>
            <w:r w:rsidR="00616203">
              <w:rPr>
                <w:sz w:val="24"/>
                <w:szCs w:val="24"/>
                <w:lang w:val="en-US" w:eastAsia="en-US"/>
              </w:rPr>
              <w:t>48</w:t>
            </w:r>
          </w:p>
        </w:tc>
        <w:tc>
          <w:tcPr>
            <w:tcW w:w="1417" w:type="dxa"/>
            <w:tcBorders>
              <w:top w:val="nil"/>
              <w:left w:val="nil"/>
              <w:bottom w:val="nil"/>
              <w:right w:val="nil"/>
            </w:tcBorders>
            <w:shd w:val="clear" w:color="auto" w:fill="auto"/>
          </w:tcPr>
          <w:p w14:paraId="0794A3EF" w14:textId="3ECFB2EF" w:rsidR="009B45AA" w:rsidRPr="0009718F" w:rsidRDefault="009568C1" w:rsidP="00A31526">
            <w:pPr>
              <w:pStyle w:val="BodyTextIndent"/>
              <w:tabs>
                <w:tab w:val="left" w:pos="360"/>
              </w:tabs>
              <w:ind w:left="0"/>
              <w:jc w:val="right"/>
              <w:rPr>
                <w:sz w:val="24"/>
                <w:szCs w:val="24"/>
                <w:lang w:val="en-US" w:eastAsia="en-US"/>
              </w:rPr>
            </w:pPr>
            <w:r w:rsidRPr="0009718F">
              <w:rPr>
                <w:sz w:val="24"/>
                <w:szCs w:val="24"/>
                <w:lang w:val="en-US" w:eastAsia="en-US"/>
              </w:rPr>
              <w:t>1,</w:t>
            </w:r>
            <w:r w:rsidR="00A31526">
              <w:rPr>
                <w:sz w:val="24"/>
                <w:szCs w:val="24"/>
                <w:lang w:val="en-US" w:eastAsia="en-US"/>
              </w:rPr>
              <w:t>548</w:t>
            </w:r>
          </w:p>
        </w:tc>
      </w:tr>
      <w:tr w:rsidR="0009718F" w:rsidRPr="0009718F" w14:paraId="56E66F17" w14:textId="77777777" w:rsidTr="002F5FBF">
        <w:tc>
          <w:tcPr>
            <w:tcW w:w="3118" w:type="dxa"/>
            <w:tcBorders>
              <w:top w:val="nil"/>
              <w:left w:val="nil"/>
              <w:bottom w:val="nil"/>
              <w:right w:val="nil"/>
            </w:tcBorders>
          </w:tcPr>
          <w:p w14:paraId="79C90842" w14:textId="497CBAE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Impairment for and write off </w:t>
            </w:r>
          </w:p>
          <w:p w14:paraId="304EBC72" w14:textId="7777777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     of Receivables</w:t>
            </w:r>
          </w:p>
        </w:tc>
        <w:tc>
          <w:tcPr>
            <w:tcW w:w="1418" w:type="dxa"/>
            <w:tcBorders>
              <w:top w:val="nil"/>
              <w:left w:val="nil"/>
              <w:bottom w:val="nil"/>
              <w:right w:val="nil"/>
            </w:tcBorders>
          </w:tcPr>
          <w:p w14:paraId="57A02D9D" w14:textId="77777777" w:rsidR="009B45AA" w:rsidRPr="0009718F" w:rsidRDefault="009B45AA" w:rsidP="009B45AA">
            <w:pPr>
              <w:pStyle w:val="BodyTextIndent"/>
              <w:tabs>
                <w:tab w:val="left" w:pos="360"/>
              </w:tabs>
              <w:ind w:left="0"/>
              <w:jc w:val="right"/>
              <w:rPr>
                <w:sz w:val="24"/>
                <w:szCs w:val="24"/>
                <w:lang w:val="en-US" w:eastAsia="en-US"/>
              </w:rPr>
            </w:pPr>
          </w:p>
          <w:p w14:paraId="3702D5D3" w14:textId="5202F5B5"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02D1C7D0" w14:textId="77777777" w:rsidR="009B45AA" w:rsidRPr="0009718F" w:rsidRDefault="009B45AA" w:rsidP="009B45AA">
            <w:pPr>
              <w:pStyle w:val="BodyTextIndent"/>
              <w:tabs>
                <w:tab w:val="left" w:pos="360"/>
              </w:tabs>
              <w:ind w:left="0"/>
              <w:jc w:val="right"/>
              <w:rPr>
                <w:sz w:val="24"/>
                <w:szCs w:val="24"/>
                <w:lang w:val="en-US" w:eastAsia="en-US"/>
              </w:rPr>
            </w:pPr>
          </w:p>
          <w:p w14:paraId="44EB26F7" w14:textId="569909CD"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8" w:type="dxa"/>
            <w:tcBorders>
              <w:top w:val="nil"/>
              <w:left w:val="nil"/>
              <w:bottom w:val="nil"/>
              <w:right w:val="nil"/>
            </w:tcBorders>
          </w:tcPr>
          <w:p w14:paraId="38B3D05F" w14:textId="77777777" w:rsidR="009B45AA" w:rsidRPr="0009718F" w:rsidRDefault="009B45AA" w:rsidP="009B45AA">
            <w:pPr>
              <w:pStyle w:val="BodyTextIndent"/>
              <w:tabs>
                <w:tab w:val="left" w:pos="360"/>
              </w:tabs>
              <w:ind w:left="0"/>
              <w:jc w:val="right"/>
              <w:rPr>
                <w:sz w:val="24"/>
                <w:szCs w:val="24"/>
                <w:lang w:val="en-US" w:eastAsia="en-US"/>
              </w:rPr>
            </w:pPr>
          </w:p>
          <w:p w14:paraId="76B11235" w14:textId="654D9B7C"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709C5DF4" w14:textId="77777777" w:rsidR="009B45AA" w:rsidRPr="0009718F" w:rsidRDefault="009B45AA" w:rsidP="009B45AA">
            <w:pPr>
              <w:pStyle w:val="BodyTextIndent"/>
              <w:tabs>
                <w:tab w:val="left" w:pos="360"/>
              </w:tabs>
              <w:ind w:left="0"/>
              <w:jc w:val="right"/>
              <w:rPr>
                <w:sz w:val="24"/>
                <w:szCs w:val="24"/>
                <w:lang w:val="en-US" w:eastAsia="en-US"/>
              </w:rPr>
            </w:pPr>
          </w:p>
          <w:p w14:paraId="672A2550" w14:textId="52B6CA53"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r>
      <w:tr w:rsidR="0009718F" w:rsidRPr="0009718F" w14:paraId="7A5394D9" w14:textId="77777777" w:rsidTr="002F5FBF">
        <w:tc>
          <w:tcPr>
            <w:tcW w:w="3118" w:type="dxa"/>
            <w:tcBorders>
              <w:top w:val="nil"/>
              <w:left w:val="nil"/>
              <w:bottom w:val="nil"/>
              <w:right w:val="nil"/>
            </w:tcBorders>
          </w:tcPr>
          <w:p w14:paraId="6140ADF4" w14:textId="4FA137ED"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Impairment for and write off</w:t>
            </w:r>
          </w:p>
          <w:p w14:paraId="095E595D" w14:textId="7777777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     of Inventories</w:t>
            </w:r>
          </w:p>
        </w:tc>
        <w:tc>
          <w:tcPr>
            <w:tcW w:w="1418" w:type="dxa"/>
            <w:tcBorders>
              <w:top w:val="nil"/>
              <w:left w:val="nil"/>
              <w:bottom w:val="nil"/>
              <w:right w:val="nil"/>
            </w:tcBorders>
          </w:tcPr>
          <w:p w14:paraId="0396F199" w14:textId="77777777" w:rsidR="009B45AA" w:rsidRPr="0009718F" w:rsidRDefault="009B45AA" w:rsidP="009B45AA">
            <w:pPr>
              <w:pStyle w:val="BodyTextIndent"/>
              <w:tabs>
                <w:tab w:val="left" w:pos="360"/>
              </w:tabs>
              <w:ind w:left="0"/>
              <w:jc w:val="right"/>
              <w:rPr>
                <w:sz w:val="24"/>
                <w:szCs w:val="24"/>
                <w:lang w:val="en-US" w:eastAsia="en-US"/>
              </w:rPr>
            </w:pPr>
          </w:p>
          <w:p w14:paraId="50BF1F85" w14:textId="533FCEBA"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4F292036" w14:textId="77777777" w:rsidR="009B45AA" w:rsidRPr="0009718F" w:rsidRDefault="009B45AA" w:rsidP="009B45AA">
            <w:pPr>
              <w:pStyle w:val="BodyTextIndent"/>
              <w:tabs>
                <w:tab w:val="left" w:pos="360"/>
              </w:tabs>
              <w:ind w:left="0"/>
              <w:jc w:val="right"/>
              <w:rPr>
                <w:sz w:val="24"/>
                <w:szCs w:val="24"/>
                <w:lang w:val="en-US" w:eastAsia="en-US"/>
              </w:rPr>
            </w:pPr>
          </w:p>
          <w:p w14:paraId="77C58ADC" w14:textId="51EAA331"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8" w:type="dxa"/>
            <w:tcBorders>
              <w:top w:val="nil"/>
              <w:left w:val="nil"/>
              <w:bottom w:val="nil"/>
              <w:right w:val="nil"/>
            </w:tcBorders>
          </w:tcPr>
          <w:p w14:paraId="424B5306" w14:textId="77777777" w:rsidR="009B45AA" w:rsidRPr="0009718F" w:rsidRDefault="009B45AA" w:rsidP="009B45AA">
            <w:pPr>
              <w:pStyle w:val="BodyTextIndent"/>
              <w:tabs>
                <w:tab w:val="left" w:pos="360"/>
              </w:tabs>
              <w:ind w:left="0"/>
              <w:jc w:val="right"/>
              <w:rPr>
                <w:sz w:val="24"/>
                <w:szCs w:val="24"/>
                <w:lang w:val="en-US" w:eastAsia="en-US"/>
              </w:rPr>
            </w:pPr>
          </w:p>
          <w:p w14:paraId="236DBC83" w14:textId="5EBCED03"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7151B6EB" w14:textId="77777777" w:rsidR="009B45AA" w:rsidRPr="0009718F" w:rsidRDefault="009B45AA" w:rsidP="009B45AA">
            <w:pPr>
              <w:pStyle w:val="BodyTextIndent"/>
              <w:tabs>
                <w:tab w:val="left" w:pos="360"/>
              </w:tabs>
              <w:ind w:left="0"/>
              <w:jc w:val="right"/>
              <w:rPr>
                <w:sz w:val="24"/>
                <w:szCs w:val="24"/>
                <w:lang w:val="en-US" w:eastAsia="en-US"/>
              </w:rPr>
            </w:pPr>
          </w:p>
          <w:p w14:paraId="5C8BCD65" w14:textId="00B234D3"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r>
      <w:tr w:rsidR="0009718F" w:rsidRPr="0009718F" w14:paraId="4A9F946C" w14:textId="77777777" w:rsidTr="002F5FBF">
        <w:tc>
          <w:tcPr>
            <w:tcW w:w="3118" w:type="dxa"/>
            <w:tcBorders>
              <w:top w:val="nil"/>
              <w:left w:val="nil"/>
              <w:bottom w:val="nil"/>
              <w:right w:val="nil"/>
            </w:tcBorders>
          </w:tcPr>
          <w:p w14:paraId="73823E04" w14:textId="232FED60"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(Gain)/Loss from disposal of </w:t>
            </w:r>
          </w:p>
          <w:p w14:paraId="669222F3" w14:textId="7777777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     investment securities</w:t>
            </w:r>
          </w:p>
        </w:tc>
        <w:tc>
          <w:tcPr>
            <w:tcW w:w="1418" w:type="dxa"/>
            <w:tcBorders>
              <w:top w:val="nil"/>
              <w:left w:val="nil"/>
              <w:bottom w:val="nil"/>
              <w:right w:val="nil"/>
            </w:tcBorders>
          </w:tcPr>
          <w:p w14:paraId="0F53BC17" w14:textId="77777777" w:rsidR="009B45AA" w:rsidRPr="0009718F" w:rsidRDefault="009B45AA" w:rsidP="009B45AA">
            <w:pPr>
              <w:pStyle w:val="BodyTextIndent"/>
              <w:tabs>
                <w:tab w:val="left" w:pos="360"/>
              </w:tabs>
              <w:ind w:left="0"/>
              <w:jc w:val="right"/>
              <w:rPr>
                <w:sz w:val="24"/>
                <w:szCs w:val="24"/>
                <w:lang w:val="en-US" w:eastAsia="en-US"/>
              </w:rPr>
            </w:pPr>
          </w:p>
          <w:p w14:paraId="1A6382D8" w14:textId="77777777"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769F4CB1" w14:textId="77777777" w:rsidR="009B45AA" w:rsidRPr="0009718F" w:rsidRDefault="009B45AA" w:rsidP="009B45AA">
            <w:pPr>
              <w:pStyle w:val="BodyTextIndent"/>
              <w:tabs>
                <w:tab w:val="left" w:pos="360"/>
              </w:tabs>
              <w:ind w:left="0"/>
              <w:jc w:val="right"/>
              <w:rPr>
                <w:sz w:val="24"/>
                <w:szCs w:val="24"/>
                <w:lang w:val="en-US" w:eastAsia="en-US"/>
              </w:rPr>
            </w:pPr>
          </w:p>
          <w:p w14:paraId="584E134B" w14:textId="77777777"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8" w:type="dxa"/>
            <w:tcBorders>
              <w:top w:val="nil"/>
              <w:left w:val="nil"/>
              <w:bottom w:val="nil"/>
              <w:right w:val="nil"/>
            </w:tcBorders>
          </w:tcPr>
          <w:p w14:paraId="3640693A" w14:textId="77777777" w:rsidR="009B45AA" w:rsidRPr="0009718F" w:rsidRDefault="009B45AA" w:rsidP="009B45AA">
            <w:pPr>
              <w:pStyle w:val="BodyTextIndent"/>
              <w:tabs>
                <w:tab w:val="left" w:pos="360"/>
              </w:tabs>
              <w:ind w:left="0"/>
              <w:jc w:val="right"/>
              <w:rPr>
                <w:sz w:val="24"/>
                <w:szCs w:val="24"/>
                <w:lang w:val="en-US" w:eastAsia="en-US"/>
              </w:rPr>
            </w:pPr>
          </w:p>
          <w:p w14:paraId="2C0FE95B" w14:textId="601193F6"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22CDD785" w14:textId="77777777" w:rsidR="009B45AA" w:rsidRPr="0009718F" w:rsidRDefault="009B45AA" w:rsidP="009B45AA">
            <w:pPr>
              <w:pStyle w:val="BodyTextIndent"/>
              <w:tabs>
                <w:tab w:val="left" w:pos="360"/>
              </w:tabs>
              <w:ind w:left="0"/>
              <w:jc w:val="right"/>
              <w:rPr>
                <w:sz w:val="24"/>
                <w:szCs w:val="24"/>
                <w:lang w:val="en-US" w:eastAsia="en-US"/>
              </w:rPr>
            </w:pPr>
          </w:p>
          <w:p w14:paraId="0F15991D" w14:textId="53C7630E"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r>
      <w:tr w:rsidR="0009718F" w:rsidRPr="0009718F" w14:paraId="4E7A1C93" w14:textId="77777777" w:rsidTr="002F5FBF">
        <w:tc>
          <w:tcPr>
            <w:tcW w:w="3118" w:type="dxa"/>
            <w:tcBorders>
              <w:top w:val="nil"/>
              <w:left w:val="nil"/>
              <w:bottom w:val="nil"/>
              <w:right w:val="nil"/>
            </w:tcBorders>
          </w:tcPr>
          <w:p w14:paraId="670DD77D" w14:textId="0BB5AD56"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(Gain)/Loss on disposal of </w:t>
            </w:r>
          </w:p>
          <w:p w14:paraId="1910B19A" w14:textId="7777777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     property, plant and</w:t>
            </w:r>
          </w:p>
          <w:p w14:paraId="307A1698" w14:textId="7777777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     equipment</w:t>
            </w:r>
          </w:p>
        </w:tc>
        <w:tc>
          <w:tcPr>
            <w:tcW w:w="1418" w:type="dxa"/>
            <w:tcBorders>
              <w:top w:val="nil"/>
              <w:left w:val="nil"/>
              <w:bottom w:val="nil"/>
              <w:right w:val="nil"/>
            </w:tcBorders>
          </w:tcPr>
          <w:p w14:paraId="6D2D1796" w14:textId="3D382211" w:rsidR="009B45AA" w:rsidRPr="0009718F" w:rsidRDefault="00E02F48" w:rsidP="009B45AA">
            <w:pPr>
              <w:pStyle w:val="BodyTextIndent"/>
              <w:tabs>
                <w:tab w:val="left" w:pos="360"/>
              </w:tabs>
              <w:ind w:left="0"/>
              <w:jc w:val="right"/>
              <w:rPr>
                <w:sz w:val="24"/>
                <w:szCs w:val="24"/>
                <w:lang w:val="en-US" w:eastAsia="en-US"/>
              </w:rPr>
            </w:pPr>
            <w:r>
              <w:rPr>
                <w:sz w:val="24"/>
                <w:szCs w:val="24"/>
                <w:lang w:val="en-US" w:eastAsia="en-US"/>
              </w:rPr>
              <w:t>(120)</w:t>
            </w:r>
          </w:p>
        </w:tc>
        <w:tc>
          <w:tcPr>
            <w:tcW w:w="1417" w:type="dxa"/>
            <w:tcBorders>
              <w:top w:val="nil"/>
              <w:left w:val="nil"/>
              <w:bottom w:val="nil"/>
              <w:right w:val="nil"/>
            </w:tcBorders>
          </w:tcPr>
          <w:p w14:paraId="35CC8B59" w14:textId="2D7FAE2F" w:rsidR="009B45AA" w:rsidRPr="0009718F" w:rsidRDefault="009568C1" w:rsidP="009B45AA">
            <w:pPr>
              <w:pStyle w:val="BodyTextIndent"/>
              <w:tabs>
                <w:tab w:val="left" w:pos="360"/>
              </w:tabs>
              <w:ind w:left="0"/>
              <w:jc w:val="right"/>
              <w:rPr>
                <w:sz w:val="24"/>
                <w:szCs w:val="24"/>
                <w:lang w:val="en-US" w:eastAsia="en-US"/>
              </w:rPr>
            </w:pPr>
            <w:r w:rsidRPr="0009718F">
              <w:rPr>
                <w:sz w:val="24"/>
                <w:szCs w:val="24"/>
                <w:lang w:val="en-US" w:eastAsia="en-US"/>
              </w:rPr>
              <w:t>4</w:t>
            </w:r>
          </w:p>
        </w:tc>
        <w:tc>
          <w:tcPr>
            <w:tcW w:w="1418" w:type="dxa"/>
            <w:tcBorders>
              <w:top w:val="nil"/>
              <w:left w:val="nil"/>
              <w:bottom w:val="nil"/>
              <w:right w:val="nil"/>
            </w:tcBorders>
          </w:tcPr>
          <w:p w14:paraId="26B0E767" w14:textId="6A088B6B" w:rsidR="00974463" w:rsidRPr="0009718F" w:rsidRDefault="00E02F48" w:rsidP="009B45AA">
            <w:pPr>
              <w:pStyle w:val="BodyTextIndent"/>
              <w:tabs>
                <w:tab w:val="left" w:pos="360"/>
              </w:tabs>
              <w:ind w:left="0"/>
              <w:jc w:val="right"/>
              <w:rPr>
                <w:sz w:val="24"/>
                <w:szCs w:val="24"/>
                <w:lang w:val="en-US" w:eastAsia="en-US"/>
              </w:rPr>
            </w:pPr>
            <w:r>
              <w:rPr>
                <w:sz w:val="24"/>
                <w:szCs w:val="24"/>
                <w:lang w:val="en-US" w:eastAsia="en-US"/>
              </w:rPr>
              <w:t>(</w:t>
            </w:r>
            <w:r w:rsidR="009568C1" w:rsidRPr="0009718F">
              <w:rPr>
                <w:sz w:val="24"/>
                <w:szCs w:val="24"/>
                <w:lang w:val="en-US" w:eastAsia="en-US"/>
              </w:rPr>
              <w:t>128</w:t>
            </w:r>
            <w:r>
              <w:rPr>
                <w:sz w:val="24"/>
                <w:szCs w:val="24"/>
                <w:lang w:val="en-US" w:eastAsia="en-US"/>
              </w:rPr>
              <w:t>)</w:t>
            </w:r>
          </w:p>
        </w:tc>
        <w:tc>
          <w:tcPr>
            <w:tcW w:w="1417" w:type="dxa"/>
            <w:tcBorders>
              <w:top w:val="nil"/>
              <w:left w:val="nil"/>
              <w:bottom w:val="nil"/>
              <w:right w:val="nil"/>
            </w:tcBorders>
          </w:tcPr>
          <w:p w14:paraId="42839F11" w14:textId="64D97424" w:rsidR="009B45AA" w:rsidRPr="0009718F" w:rsidRDefault="009568C1" w:rsidP="009B45AA">
            <w:pPr>
              <w:pStyle w:val="BodyTextIndent"/>
              <w:tabs>
                <w:tab w:val="left" w:pos="360"/>
              </w:tabs>
              <w:ind w:left="0"/>
              <w:jc w:val="right"/>
              <w:rPr>
                <w:sz w:val="24"/>
                <w:szCs w:val="24"/>
                <w:lang w:val="en-US" w:eastAsia="en-US"/>
              </w:rPr>
            </w:pPr>
            <w:r w:rsidRPr="0009718F">
              <w:rPr>
                <w:sz w:val="24"/>
                <w:szCs w:val="24"/>
                <w:lang w:val="en-US" w:eastAsia="en-US"/>
              </w:rPr>
              <w:t>(13)</w:t>
            </w:r>
          </w:p>
        </w:tc>
      </w:tr>
      <w:tr w:rsidR="0009718F" w:rsidRPr="0009718F" w14:paraId="18FFFC28" w14:textId="77777777" w:rsidTr="002F5FBF">
        <w:tc>
          <w:tcPr>
            <w:tcW w:w="3118" w:type="dxa"/>
            <w:tcBorders>
              <w:top w:val="nil"/>
              <w:left w:val="nil"/>
              <w:bottom w:val="nil"/>
              <w:right w:val="nil"/>
            </w:tcBorders>
          </w:tcPr>
          <w:p w14:paraId="3DA72598" w14:textId="3C1D8F9E"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Fair value (gain)/loss on</w:t>
            </w:r>
          </w:p>
          <w:p w14:paraId="505A0B2A" w14:textId="7777777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     investment securities</w:t>
            </w:r>
          </w:p>
        </w:tc>
        <w:tc>
          <w:tcPr>
            <w:tcW w:w="1418" w:type="dxa"/>
            <w:tcBorders>
              <w:top w:val="nil"/>
              <w:left w:val="nil"/>
              <w:bottom w:val="nil"/>
              <w:right w:val="nil"/>
            </w:tcBorders>
          </w:tcPr>
          <w:p w14:paraId="296B2705" w14:textId="77777777" w:rsidR="009B45AA" w:rsidRPr="0009718F" w:rsidRDefault="009B45AA" w:rsidP="009B45AA">
            <w:pPr>
              <w:pStyle w:val="BodyTextIndent"/>
              <w:tabs>
                <w:tab w:val="left" w:pos="360"/>
              </w:tabs>
              <w:ind w:left="0"/>
              <w:jc w:val="right"/>
              <w:rPr>
                <w:sz w:val="24"/>
                <w:szCs w:val="24"/>
                <w:lang w:val="en-US" w:eastAsia="en-US"/>
              </w:rPr>
            </w:pPr>
          </w:p>
          <w:p w14:paraId="0EC4BFB7" w14:textId="77777777"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2CFB7B3D" w14:textId="77777777" w:rsidR="009B45AA" w:rsidRPr="0009718F" w:rsidRDefault="009B45AA" w:rsidP="009B45AA">
            <w:pPr>
              <w:pStyle w:val="BodyTextIndent"/>
              <w:tabs>
                <w:tab w:val="left" w:pos="360"/>
              </w:tabs>
              <w:ind w:left="0"/>
              <w:jc w:val="right"/>
              <w:rPr>
                <w:sz w:val="24"/>
                <w:szCs w:val="24"/>
                <w:lang w:val="en-US" w:eastAsia="en-US"/>
              </w:rPr>
            </w:pPr>
          </w:p>
          <w:p w14:paraId="46B3AFFF" w14:textId="77777777"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8" w:type="dxa"/>
            <w:tcBorders>
              <w:top w:val="nil"/>
              <w:left w:val="nil"/>
              <w:bottom w:val="nil"/>
              <w:right w:val="nil"/>
            </w:tcBorders>
          </w:tcPr>
          <w:p w14:paraId="5E2A1825" w14:textId="77777777" w:rsidR="009B45AA" w:rsidRPr="0009718F" w:rsidRDefault="009B45AA" w:rsidP="009B45AA">
            <w:pPr>
              <w:pStyle w:val="BodyTextIndent"/>
              <w:tabs>
                <w:tab w:val="left" w:pos="360"/>
              </w:tabs>
              <w:ind w:left="0"/>
              <w:jc w:val="right"/>
              <w:rPr>
                <w:sz w:val="24"/>
                <w:szCs w:val="24"/>
                <w:lang w:val="en-US" w:eastAsia="en-US"/>
              </w:rPr>
            </w:pPr>
          </w:p>
          <w:p w14:paraId="4DA0ED80" w14:textId="0FED2048"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6AF3961D" w14:textId="77777777" w:rsidR="009B45AA" w:rsidRPr="0009718F" w:rsidRDefault="009B45AA" w:rsidP="009B45AA">
            <w:pPr>
              <w:pStyle w:val="BodyTextIndent"/>
              <w:tabs>
                <w:tab w:val="left" w:pos="360"/>
              </w:tabs>
              <w:ind w:left="0"/>
              <w:jc w:val="right"/>
              <w:rPr>
                <w:sz w:val="24"/>
                <w:szCs w:val="24"/>
                <w:lang w:val="en-US" w:eastAsia="en-US"/>
              </w:rPr>
            </w:pPr>
          </w:p>
          <w:p w14:paraId="4CC41254" w14:textId="4B454965"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r>
      <w:tr w:rsidR="0009718F" w:rsidRPr="0009718F" w14:paraId="267A72DC" w14:textId="77777777" w:rsidTr="002F5FBF">
        <w:tc>
          <w:tcPr>
            <w:tcW w:w="3118" w:type="dxa"/>
            <w:tcBorders>
              <w:top w:val="nil"/>
              <w:left w:val="nil"/>
              <w:bottom w:val="nil"/>
              <w:right w:val="nil"/>
            </w:tcBorders>
          </w:tcPr>
          <w:p w14:paraId="2F7943A1" w14:textId="60080F3B"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Unrealised foreign exchange</w:t>
            </w:r>
          </w:p>
          <w:p w14:paraId="5A243AB3" w14:textId="77777777"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 xml:space="preserve">     (gain)/loss</w:t>
            </w:r>
          </w:p>
        </w:tc>
        <w:tc>
          <w:tcPr>
            <w:tcW w:w="1418" w:type="dxa"/>
            <w:tcBorders>
              <w:top w:val="nil"/>
              <w:left w:val="nil"/>
              <w:bottom w:val="nil"/>
              <w:right w:val="nil"/>
            </w:tcBorders>
          </w:tcPr>
          <w:p w14:paraId="3AECBC3F" w14:textId="77777777" w:rsidR="009B45AA" w:rsidRPr="0009718F" w:rsidRDefault="009B45AA" w:rsidP="009B45AA">
            <w:pPr>
              <w:pStyle w:val="BodyTextIndent"/>
              <w:tabs>
                <w:tab w:val="left" w:pos="360"/>
              </w:tabs>
              <w:ind w:left="0"/>
              <w:jc w:val="right"/>
              <w:rPr>
                <w:sz w:val="24"/>
                <w:szCs w:val="24"/>
                <w:lang w:val="en-US" w:eastAsia="en-US"/>
              </w:rPr>
            </w:pPr>
          </w:p>
          <w:p w14:paraId="26FE80D9" w14:textId="77777777"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0CA1D502" w14:textId="77777777" w:rsidR="009B45AA" w:rsidRPr="0009718F" w:rsidRDefault="009B45AA" w:rsidP="009B45AA">
            <w:pPr>
              <w:pStyle w:val="BodyTextIndent"/>
              <w:tabs>
                <w:tab w:val="left" w:pos="360"/>
              </w:tabs>
              <w:ind w:left="0"/>
              <w:jc w:val="right"/>
              <w:rPr>
                <w:sz w:val="24"/>
                <w:szCs w:val="24"/>
                <w:lang w:val="en-US" w:eastAsia="en-US"/>
              </w:rPr>
            </w:pPr>
          </w:p>
          <w:p w14:paraId="37756ED7" w14:textId="77777777"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8" w:type="dxa"/>
            <w:tcBorders>
              <w:top w:val="nil"/>
              <w:left w:val="nil"/>
              <w:bottom w:val="nil"/>
              <w:right w:val="nil"/>
            </w:tcBorders>
          </w:tcPr>
          <w:p w14:paraId="6AF7DF75" w14:textId="77777777" w:rsidR="009B45AA" w:rsidRPr="0009718F" w:rsidRDefault="009B45AA" w:rsidP="009B45AA">
            <w:pPr>
              <w:pStyle w:val="BodyTextIndent"/>
              <w:tabs>
                <w:tab w:val="left" w:pos="360"/>
              </w:tabs>
              <w:ind w:left="0"/>
              <w:jc w:val="right"/>
              <w:rPr>
                <w:sz w:val="24"/>
                <w:szCs w:val="24"/>
                <w:lang w:val="en-US" w:eastAsia="en-US"/>
              </w:rPr>
            </w:pPr>
          </w:p>
          <w:p w14:paraId="799C8ACD" w14:textId="42447CB9"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2B801F79" w14:textId="77777777" w:rsidR="009B45AA" w:rsidRPr="0009718F" w:rsidRDefault="009B45AA" w:rsidP="009B45AA">
            <w:pPr>
              <w:pStyle w:val="BodyTextIndent"/>
              <w:tabs>
                <w:tab w:val="left" w:pos="360"/>
              </w:tabs>
              <w:ind w:left="0"/>
              <w:jc w:val="right"/>
              <w:rPr>
                <w:sz w:val="24"/>
                <w:szCs w:val="24"/>
                <w:lang w:val="en-US" w:eastAsia="en-US"/>
              </w:rPr>
            </w:pPr>
          </w:p>
          <w:p w14:paraId="781DB374" w14:textId="7AC12DD4"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r>
      <w:tr w:rsidR="00721B47" w:rsidRPr="0009718F" w14:paraId="4C751529" w14:textId="77777777" w:rsidTr="002F5FBF">
        <w:tc>
          <w:tcPr>
            <w:tcW w:w="3118" w:type="dxa"/>
            <w:tcBorders>
              <w:top w:val="nil"/>
              <w:left w:val="nil"/>
              <w:bottom w:val="nil"/>
              <w:right w:val="nil"/>
            </w:tcBorders>
          </w:tcPr>
          <w:p w14:paraId="4295365E" w14:textId="706C0322" w:rsidR="009B45AA" w:rsidRPr="0009718F" w:rsidRDefault="009B45AA" w:rsidP="009B45AA">
            <w:pPr>
              <w:pStyle w:val="BodyTextIndent"/>
              <w:tabs>
                <w:tab w:val="left" w:pos="360"/>
              </w:tabs>
              <w:ind w:left="0"/>
              <w:jc w:val="left"/>
              <w:rPr>
                <w:sz w:val="24"/>
                <w:szCs w:val="24"/>
                <w:lang w:val="en-US" w:eastAsia="en-US"/>
              </w:rPr>
            </w:pPr>
            <w:r w:rsidRPr="0009718F">
              <w:rPr>
                <w:sz w:val="24"/>
                <w:szCs w:val="24"/>
                <w:lang w:val="en-US" w:eastAsia="en-US"/>
              </w:rPr>
              <w:t>Exceptional items</w:t>
            </w:r>
          </w:p>
        </w:tc>
        <w:tc>
          <w:tcPr>
            <w:tcW w:w="1418" w:type="dxa"/>
            <w:tcBorders>
              <w:top w:val="nil"/>
              <w:left w:val="nil"/>
              <w:bottom w:val="nil"/>
              <w:right w:val="nil"/>
            </w:tcBorders>
          </w:tcPr>
          <w:p w14:paraId="715382D2" w14:textId="77777777"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2BCEA7DA" w14:textId="77777777"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8" w:type="dxa"/>
            <w:tcBorders>
              <w:top w:val="nil"/>
              <w:left w:val="nil"/>
              <w:bottom w:val="nil"/>
              <w:right w:val="nil"/>
            </w:tcBorders>
          </w:tcPr>
          <w:p w14:paraId="320A2FE3" w14:textId="6E2CC9A6"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c>
          <w:tcPr>
            <w:tcW w:w="1417" w:type="dxa"/>
            <w:tcBorders>
              <w:top w:val="nil"/>
              <w:left w:val="nil"/>
              <w:bottom w:val="nil"/>
              <w:right w:val="nil"/>
            </w:tcBorders>
          </w:tcPr>
          <w:p w14:paraId="4BDBDB33" w14:textId="1A9C1205" w:rsidR="009B45AA" w:rsidRPr="0009718F" w:rsidRDefault="009B45AA" w:rsidP="009B45AA">
            <w:pPr>
              <w:pStyle w:val="BodyTextIndent"/>
              <w:tabs>
                <w:tab w:val="left" w:pos="360"/>
              </w:tabs>
              <w:ind w:left="0"/>
              <w:jc w:val="right"/>
              <w:rPr>
                <w:sz w:val="24"/>
                <w:szCs w:val="24"/>
                <w:lang w:val="en-US" w:eastAsia="en-US"/>
              </w:rPr>
            </w:pPr>
            <w:r w:rsidRPr="0009718F">
              <w:rPr>
                <w:sz w:val="24"/>
                <w:szCs w:val="24"/>
                <w:lang w:val="en-US" w:eastAsia="en-US"/>
              </w:rPr>
              <w:t>-</w:t>
            </w:r>
          </w:p>
        </w:tc>
      </w:tr>
    </w:tbl>
    <w:p w14:paraId="42B9935F" w14:textId="77777777" w:rsidR="00195D62" w:rsidRPr="0009718F" w:rsidRDefault="00195D62" w:rsidP="00A33E20">
      <w:pPr>
        <w:pStyle w:val="BodyTextIndent"/>
        <w:tabs>
          <w:tab w:val="left" w:pos="360"/>
        </w:tabs>
        <w:ind w:left="0" w:firstLine="360"/>
        <w:rPr>
          <w:sz w:val="24"/>
          <w:szCs w:val="24"/>
          <w:lang w:val="en-US"/>
        </w:rPr>
      </w:pPr>
    </w:p>
    <w:p w14:paraId="6457764E" w14:textId="77777777" w:rsidR="00195D62" w:rsidRPr="0009718F" w:rsidRDefault="00195D62" w:rsidP="00A33E20">
      <w:pPr>
        <w:pStyle w:val="BodyTextIndent"/>
        <w:tabs>
          <w:tab w:val="left" w:pos="360"/>
        </w:tabs>
        <w:ind w:left="0" w:firstLine="360"/>
        <w:rPr>
          <w:sz w:val="24"/>
          <w:szCs w:val="24"/>
          <w:lang w:val="en-US"/>
        </w:rPr>
      </w:pPr>
    </w:p>
    <w:p w14:paraId="0A628387" w14:textId="399ED65B" w:rsidR="00937FDC" w:rsidRPr="0009718F" w:rsidRDefault="00542AB4" w:rsidP="00937FDC">
      <w:pPr>
        <w:pStyle w:val="BodyTextIndent"/>
        <w:tabs>
          <w:tab w:val="left" w:pos="360"/>
        </w:tabs>
        <w:ind w:left="0"/>
        <w:rPr>
          <w:sz w:val="24"/>
          <w:szCs w:val="24"/>
        </w:rPr>
      </w:pPr>
      <w:r w:rsidRPr="0009718F">
        <w:rPr>
          <w:sz w:val="24"/>
          <w:szCs w:val="24"/>
          <w:lang w:val="en-GB"/>
        </w:rPr>
        <w:t>20</w:t>
      </w:r>
      <w:r w:rsidR="00937FDC" w:rsidRPr="0009718F">
        <w:rPr>
          <w:sz w:val="24"/>
          <w:szCs w:val="24"/>
        </w:rPr>
        <w:t>. SALE OF UNQUOTED INVESTMENTS AND PROPERTIES</w:t>
      </w:r>
    </w:p>
    <w:p w14:paraId="005C88D2" w14:textId="77777777" w:rsidR="00937FDC" w:rsidRPr="0009718F" w:rsidRDefault="00937FDC" w:rsidP="00937FDC">
      <w:pPr>
        <w:pStyle w:val="BodyTextIndent"/>
        <w:rPr>
          <w:sz w:val="12"/>
          <w:szCs w:val="12"/>
        </w:rPr>
      </w:pPr>
    </w:p>
    <w:p w14:paraId="78F98B4B" w14:textId="77777777" w:rsidR="00937FDC" w:rsidRPr="0009718F" w:rsidRDefault="00937FDC" w:rsidP="00937FDC">
      <w:pPr>
        <w:pStyle w:val="BodyTextIndent"/>
        <w:ind w:right="-288"/>
        <w:rPr>
          <w:sz w:val="24"/>
          <w:szCs w:val="24"/>
          <w:lang w:val="en-US"/>
        </w:rPr>
      </w:pPr>
      <w:r w:rsidRPr="0009718F">
        <w:rPr>
          <w:sz w:val="24"/>
          <w:szCs w:val="24"/>
        </w:rPr>
        <w:t>There were no sales of unquoted investments and properties for the financial quarter under review.</w:t>
      </w:r>
    </w:p>
    <w:p w14:paraId="1861C67E" w14:textId="77777777" w:rsidR="00A75708" w:rsidRPr="0009718F" w:rsidRDefault="00A75708" w:rsidP="00937FDC">
      <w:pPr>
        <w:pStyle w:val="BodyTextIndent"/>
        <w:ind w:right="-288"/>
        <w:rPr>
          <w:sz w:val="24"/>
          <w:szCs w:val="24"/>
          <w:lang w:val="en-US"/>
        </w:rPr>
      </w:pPr>
    </w:p>
    <w:p w14:paraId="7A089694" w14:textId="77777777" w:rsidR="00195D62" w:rsidRPr="0009718F" w:rsidRDefault="00195D62" w:rsidP="00937FDC">
      <w:pPr>
        <w:pStyle w:val="BodyTextIndent"/>
        <w:ind w:right="-288"/>
        <w:rPr>
          <w:sz w:val="24"/>
          <w:szCs w:val="24"/>
          <w:lang w:val="en-US"/>
        </w:rPr>
      </w:pPr>
    </w:p>
    <w:p w14:paraId="36859E8F" w14:textId="0ECD7103" w:rsidR="00937FDC" w:rsidRPr="0009718F" w:rsidRDefault="00542AB4" w:rsidP="00937FDC">
      <w:pPr>
        <w:pStyle w:val="BodyTextIndent"/>
        <w:tabs>
          <w:tab w:val="left" w:pos="360"/>
        </w:tabs>
        <w:ind w:hanging="360"/>
        <w:rPr>
          <w:sz w:val="24"/>
          <w:szCs w:val="24"/>
        </w:rPr>
      </w:pPr>
      <w:r w:rsidRPr="0009718F">
        <w:rPr>
          <w:sz w:val="24"/>
          <w:szCs w:val="24"/>
          <w:lang w:val="en-GB"/>
        </w:rPr>
        <w:t>21</w:t>
      </w:r>
      <w:r w:rsidR="00937FDC" w:rsidRPr="0009718F">
        <w:rPr>
          <w:sz w:val="24"/>
          <w:szCs w:val="24"/>
        </w:rPr>
        <w:t>. CORPORATE PROPOSALS</w:t>
      </w:r>
    </w:p>
    <w:p w14:paraId="3F2091EA" w14:textId="77777777" w:rsidR="00937FDC" w:rsidRPr="0009718F" w:rsidRDefault="00937FDC" w:rsidP="00937FDC">
      <w:pPr>
        <w:pStyle w:val="BodyTextIndent"/>
        <w:rPr>
          <w:sz w:val="12"/>
          <w:szCs w:val="12"/>
        </w:rPr>
      </w:pPr>
    </w:p>
    <w:p w14:paraId="5F8AA02A" w14:textId="77777777" w:rsidR="00937FDC" w:rsidRPr="0009718F" w:rsidRDefault="00937FDC" w:rsidP="00937FDC">
      <w:pPr>
        <w:pStyle w:val="BodyTextIndent"/>
        <w:ind w:right="-288"/>
        <w:rPr>
          <w:sz w:val="24"/>
          <w:szCs w:val="24"/>
        </w:rPr>
      </w:pPr>
      <w:r w:rsidRPr="0009718F">
        <w:rPr>
          <w:sz w:val="24"/>
          <w:szCs w:val="24"/>
        </w:rPr>
        <w:t>There were no corporate proposals announced but not completed as at the date of this announcement.</w:t>
      </w:r>
    </w:p>
    <w:p w14:paraId="642F4326" w14:textId="77777777" w:rsidR="00195D62" w:rsidRPr="0009718F" w:rsidRDefault="00195D62" w:rsidP="00937FDC">
      <w:pPr>
        <w:pStyle w:val="BodyTextIndent"/>
        <w:ind w:right="-288"/>
        <w:rPr>
          <w:sz w:val="24"/>
          <w:szCs w:val="24"/>
        </w:rPr>
      </w:pPr>
    </w:p>
    <w:p w14:paraId="763A7426" w14:textId="71B30F58" w:rsidR="00363529" w:rsidRPr="0009718F" w:rsidRDefault="00363529" w:rsidP="00937FDC">
      <w:pPr>
        <w:pStyle w:val="BodyTextIndent"/>
        <w:tabs>
          <w:tab w:val="left" w:pos="360"/>
        </w:tabs>
        <w:ind w:hanging="360"/>
        <w:rPr>
          <w:sz w:val="24"/>
          <w:szCs w:val="24"/>
          <w:lang w:val="en-US"/>
        </w:rPr>
      </w:pPr>
    </w:p>
    <w:p w14:paraId="4BB7A746" w14:textId="77777777" w:rsidR="009464A6" w:rsidRDefault="009464A6" w:rsidP="00937FDC">
      <w:pPr>
        <w:pStyle w:val="BodyTextIndent"/>
        <w:tabs>
          <w:tab w:val="left" w:pos="360"/>
        </w:tabs>
        <w:ind w:hanging="360"/>
        <w:rPr>
          <w:sz w:val="24"/>
          <w:szCs w:val="24"/>
          <w:lang w:val="en-US"/>
        </w:rPr>
      </w:pPr>
    </w:p>
    <w:p w14:paraId="5F991643" w14:textId="77777777" w:rsidR="009464A6" w:rsidRDefault="009464A6" w:rsidP="00937FDC">
      <w:pPr>
        <w:pStyle w:val="BodyTextIndent"/>
        <w:tabs>
          <w:tab w:val="left" w:pos="360"/>
        </w:tabs>
        <w:ind w:hanging="360"/>
        <w:rPr>
          <w:sz w:val="24"/>
          <w:szCs w:val="24"/>
          <w:lang w:val="en-US"/>
        </w:rPr>
      </w:pPr>
    </w:p>
    <w:p w14:paraId="0EF80433" w14:textId="77777777" w:rsidR="009464A6" w:rsidRDefault="009464A6" w:rsidP="00937FDC">
      <w:pPr>
        <w:pStyle w:val="BodyTextIndent"/>
        <w:tabs>
          <w:tab w:val="left" w:pos="360"/>
        </w:tabs>
        <w:ind w:hanging="360"/>
        <w:rPr>
          <w:sz w:val="24"/>
          <w:szCs w:val="24"/>
          <w:lang w:val="en-US"/>
        </w:rPr>
      </w:pPr>
    </w:p>
    <w:p w14:paraId="5BC5D5AB" w14:textId="77777777" w:rsidR="009464A6" w:rsidRDefault="009464A6" w:rsidP="00937FDC">
      <w:pPr>
        <w:pStyle w:val="BodyTextIndent"/>
        <w:tabs>
          <w:tab w:val="left" w:pos="360"/>
        </w:tabs>
        <w:ind w:hanging="360"/>
        <w:rPr>
          <w:sz w:val="24"/>
          <w:szCs w:val="24"/>
          <w:lang w:val="en-US"/>
        </w:rPr>
      </w:pPr>
    </w:p>
    <w:p w14:paraId="4FA2E35A" w14:textId="77777777" w:rsidR="009464A6" w:rsidRDefault="009464A6" w:rsidP="00937FDC">
      <w:pPr>
        <w:pStyle w:val="BodyTextIndent"/>
        <w:tabs>
          <w:tab w:val="left" w:pos="360"/>
        </w:tabs>
        <w:ind w:hanging="360"/>
        <w:rPr>
          <w:sz w:val="24"/>
          <w:szCs w:val="24"/>
          <w:lang w:val="en-US"/>
        </w:rPr>
      </w:pPr>
    </w:p>
    <w:p w14:paraId="36F8D28E" w14:textId="77777777" w:rsidR="009464A6" w:rsidRDefault="009464A6" w:rsidP="00937FDC">
      <w:pPr>
        <w:pStyle w:val="BodyTextIndent"/>
        <w:tabs>
          <w:tab w:val="left" w:pos="360"/>
        </w:tabs>
        <w:ind w:hanging="360"/>
        <w:rPr>
          <w:sz w:val="24"/>
          <w:szCs w:val="24"/>
          <w:lang w:val="en-US"/>
        </w:rPr>
      </w:pPr>
    </w:p>
    <w:p w14:paraId="02B269C8" w14:textId="77777777" w:rsidR="009464A6" w:rsidRDefault="009464A6" w:rsidP="00937FDC">
      <w:pPr>
        <w:pStyle w:val="BodyTextIndent"/>
        <w:tabs>
          <w:tab w:val="left" w:pos="360"/>
        </w:tabs>
        <w:ind w:hanging="360"/>
        <w:rPr>
          <w:sz w:val="24"/>
          <w:szCs w:val="24"/>
          <w:lang w:val="en-US"/>
        </w:rPr>
      </w:pPr>
    </w:p>
    <w:p w14:paraId="1190C91E" w14:textId="77777777" w:rsidR="009464A6" w:rsidRDefault="009464A6" w:rsidP="00937FDC">
      <w:pPr>
        <w:pStyle w:val="BodyTextIndent"/>
        <w:tabs>
          <w:tab w:val="left" w:pos="360"/>
        </w:tabs>
        <w:ind w:hanging="360"/>
        <w:rPr>
          <w:sz w:val="24"/>
          <w:szCs w:val="24"/>
          <w:lang w:val="en-US"/>
        </w:rPr>
      </w:pPr>
    </w:p>
    <w:p w14:paraId="7A8044DC" w14:textId="77777777" w:rsidR="009464A6" w:rsidRDefault="009464A6" w:rsidP="00937FDC">
      <w:pPr>
        <w:pStyle w:val="BodyTextIndent"/>
        <w:tabs>
          <w:tab w:val="left" w:pos="360"/>
        </w:tabs>
        <w:ind w:hanging="360"/>
        <w:rPr>
          <w:sz w:val="24"/>
          <w:szCs w:val="24"/>
          <w:lang w:val="en-US"/>
        </w:rPr>
      </w:pPr>
    </w:p>
    <w:p w14:paraId="25DEAF46" w14:textId="77777777" w:rsidR="009464A6" w:rsidRDefault="009464A6" w:rsidP="00937FDC">
      <w:pPr>
        <w:pStyle w:val="BodyTextIndent"/>
        <w:tabs>
          <w:tab w:val="left" w:pos="360"/>
        </w:tabs>
        <w:ind w:hanging="360"/>
        <w:rPr>
          <w:sz w:val="24"/>
          <w:szCs w:val="24"/>
          <w:lang w:val="en-US"/>
        </w:rPr>
      </w:pPr>
    </w:p>
    <w:p w14:paraId="6AF6D3F0" w14:textId="77777777" w:rsidR="009464A6" w:rsidRDefault="009464A6" w:rsidP="00937FDC">
      <w:pPr>
        <w:pStyle w:val="BodyTextIndent"/>
        <w:tabs>
          <w:tab w:val="left" w:pos="360"/>
        </w:tabs>
        <w:ind w:hanging="360"/>
        <w:rPr>
          <w:sz w:val="24"/>
          <w:szCs w:val="24"/>
          <w:lang w:val="en-US"/>
        </w:rPr>
      </w:pPr>
    </w:p>
    <w:p w14:paraId="1A2D9148" w14:textId="77777777" w:rsidR="009464A6" w:rsidRDefault="009464A6" w:rsidP="00937FDC">
      <w:pPr>
        <w:pStyle w:val="BodyTextIndent"/>
        <w:tabs>
          <w:tab w:val="left" w:pos="360"/>
        </w:tabs>
        <w:ind w:hanging="360"/>
        <w:rPr>
          <w:sz w:val="24"/>
          <w:szCs w:val="24"/>
          <w:lang w:val="en-US"/>
        </w:rPr>
      </w:pPr>
    </w:p>
    <w:p w14:paraId="41A90B39" w14:textId="7A7546D2" w:rsidR="00937FDC" w:rsidRPr="0009718F" w:rsidRDefault="00542AB4" w:rsidP="00937FDC">
      <w:pPr>
        <w:pStyle w:val="BodyTextIndent"/>
        <w:tabs>
          <w:tab w:val="left" w:pos="360"/>
        </w:tabs>
        <w:ind w:hanging="360"/>
        <w:rPr>
          <w:sz w:val="24"/>
          <w:szCs w:val="24"/>
          <w:lang w:val="en-US"/>
        </w:rPr>
      </w:pPr>
      <w:r w:rsidRPr="0009718F">
        <w:rPr>
          <w:sz w:val="24"/>
          <w:szCs w:val="24"/>
          <w:lang w:val="en-US"/>
        </w:rPr>
        <w:lastRenderedPageBreak/>
        <w:t>22</w:t>
      </w:r>
      <w:r w:rsidR="00937FDC" w:rsidRPr="0009718F">
        <w:rPr>
          <w:sz w:val="24"/>
          <w:szCs w:val="24"/>
        </w:rPr>
        <w:t xml:space="preserve">. </w:t>
      </w:r>
      <w:r w:rsidR="000E075C" w:rsidRPr="0009718F">
        <w:rPr>
          <w:sz w:val="24"/>
          <w:szCs w:val="24"/>
          <w:lang w:val="en-US"/>
        </w:rPr>
        <w:t xml:space="preserve">LOANS AND </w:t>
      </w:r>
      <w:r w:rsidR="00937FDC" w:rsidRPr="0009718F">
        <w:rPr>
          <w:sz w:val="24"/>
          <w:szCs w:val="24"/>
        </w:rPr>
        <w:t>BORROWINGS</w:t>
      </w:r>
    </w:p>
    <w:p w14:paraId="0D205CCE" w14:textId="77777777" w:rsidR="008A26DF" w:rsidRPr="0009718F" w:rsidRDefault="008A26DF" w:rsidP="00937FDC">
      <w:pPr>
        <w:pStyle w:val="BodyTextIndent"/>
        <w:tabs>
          <w:tab w:val="left" w:pos="360"/>
        </w:tabs>
        <w:ind w:hanging="360"/>
        <w:rPr>
          <w:sz w:val="24"/>
          <w:szCs w:val="24"/>
          <w:lang w:val="en-US"/>
        </w:rPr>
      </w:pPr>
    </w:p>
    <w:bookmarkStart w:id="21" w:name="_MON_1390887630"/>
    <w:bookmarkEnd w:id="21"/>
    <w:bookmarkStart w:id="22" w:name="_MON_1390832084"/>
    <w:bookmarkEnd w:id="22"/>
    <w:p w14:paraId="2D950F2C" w14:textId="4C03E37E" w:rsidR="00937FDC" w:rsidRPr="0009718F" w:rsidRDefault="009568C1" w:rsidP="00937FDC">
      <w:pPr>
        <w:pStyle w:val="BodyTextIndent"/>
        <w:rPr>
          <w:sz w:val="16"/>
          <w:szCs w:val="16"/>
        </w:rPr>
      </w:pPr>
      <w:r w:rsidRPr="0009718F">
        <w:rPr>
          <w:sz w:val="16"/>
          <w:szCs w:val="16"/>
        </w:rPr>
        <w:object w:dxaOrig="7999" w:dyaOrig="3844" w14:anchorId="0C0F92DB">
          <v:shape id="_x0000_i1027" type="#_x0000_t75" style="width:401.25pt;height:192.75pt" o:ole="">
            <v:imagedata r:id="rId14" o:title=""/>
          </v:shape>
          <o:OLEObject Type="Embed" ProgID="Excel.Sheet.8" ShapeID="_x0000_i1027" DrawAspect="Content" ObjectID="_1572760270" r:id="rId15"/>
        </w:object>
      </w:r>
    </w:p>
    <w:p w14:paraId="4A73D7A3" w14:textId="77777777" w:rsidR="002A5967" w:rsidRPr="0009718F" w:rsidRDefault="002A5967" w:rsidP="00937FDC">
      <w:pPr>
        <w:pStyle w:val="BodyTextIndent"/>
        <w:ind w:left="0" w:firstLine="360"/>
        <w:rPr>
          <w:sz w:val="24"/>
          <w:szCs w:val="24"/>
          <w:lang w:val="en-US"/>
        </w:rPr>
      </w:pPr>
    </w:p>
    <w:p w14:paraId="59245B16" w14:textId="77777777" w:rsidR="00937FDC" w:rsidRPr="0009718F" w:rsidRDefault="00937FDC" w:rsidP="00937FDC">
      <w:pPr>
        <w:pStyle w:val="BodyTextIndent"/>
        <w:ind w:left="0" w:firstLine="360"/>
        <w:rPr>
          <w:sz w:val="24"/>
          <w:szCs w:val="24"/>
        </w:rPr>
      </w:pPr>
      <w:r w:rsidRPr="0009718F">
        <w:rPr>
          <w:sz w:val="24"/>
          <w:szCs w:val="24"/>
        </w:rPr>
        <w:t>The borrowings are secured.</w:t>
      </w:r>
      <w:r w:rsidRPr="0009718F">
        <w:rPr>
          <w:sz w:val="24"/>
          <w:szCs w:val="24"/>
        </w:rPr>
        <w:tab/>
      </w:r>
    </w:p>
    <w:p w14:paraId="62C730C9" w14:textId="77777777" w:rsidR="00937FDC" w:rsidRPr="0009718F" w:rsidRDefault="00937FDC" w:rsidP="00937FDC">
      <w:pPr>
        <w:pStyle w:val="BodyTextIndent"/>
        <w:ind w:left="0"/>
        <w:rPr>
          <w:sz w:val="12"/>
          <w:szCs w:val="12"/>
          <w:lang w:val="en-US"/>
        </w:rPr>
      </w:pPr>
    </w:p>
    <w:p w14:paraId="0EA7680A" w14:textId="77777777" w:rsidR="00D146BE" w:rsidRPr="0009718F" w:rsidRDefault="00D146BE" w:rsidP="00937FDC">
      <w:pPr>
        <w:pStyle w:val="BodyTextIndent"/>
        <w:ind w:left="0"/>
        <w:rPr>
          <w:sz w:val="12"/>
          <w:szCs w:val="12"/>
          <w:lang w:val="en-US"/>
        </w:rPr>
      </w:pPr>
    </w:p>
    <w:p w14:paraId="474EF304" w14:textId="77777777" w:rsidR="00802F96" w:rsidRDefault="00802F96" w:rsidP="00937FDC">
      <w:pPr>
        <w:pStyle w:val="BodyTextIndent"/>
        <w:ind w:left="0"/>
        <w:rPr>
          <w:sz w:val="12"/>
          <w:szCs w:val="12"/>
          <w:lang w:val="en-US"/>
        </w:rPr>
      </w:pPr>
    </w:p>
    <w:p w14:paraId="5A990D40" w14:textId="77777777" w:rsidR="00940405" w:rsidRPr="0009718F" w:rsidRDefault="00940405" w:rsidP="00937FDC">
      <w:pPr>
        <w:pStyle w:val="BodyTextIndent"/>
        <w:ind w:left="0"/>
        <w:rPr>
          <w:sz w:val="12"/>
          <w:szCs w:val="12"/>
          <w:lang w:val="en-US"/>
        </w:rPr>
      </w:pPr>
    </w:p>
    <w:p w14:paraId="3ACDC0D0" w14:textId="05CB64B3" w:rsidR="00937FDC" w:rsidRPr="0009718F" w:rsidRDefault="00542AB4" w:rsidP="00937FDC">
      <w:pPr>
        <w:pStyle w:val="BodyTextIndent"/>
        <w:tabs>
          <w:tab w:val="left" w:pos="360"/>
        </w:tabs>
        <w:ind w:hanging="360"/>
        <w:rPr>
          <w:sz w:val="24"/>
          <w:szCs w:val="24"/>
        </w:rPr>
      </w:pPr>
      <w:r w:rsidRPr="0009718F">
        <w:rPr>
          <w:sz w:val="24"/>
          <w:szCs w:val="24"/>
          <w:lang w:val="en-GB"/>
        </w:rPr>
        <w:t>23</w:t>
      </w:r>
      <w:r w:rsidR="00937FDC" w:rsidRPr="0009718F">
        <w:rPr>
          <w:sz w:val="24"/>
          <w:szCs w:val="24"/>
        </w:rPr>
        <w:t>. OFF BALANCE SHEET FINANCIAL INSTRUMENTS</w:t>
      </w:r>
    </w:p>
    <w:p w14:paraId="026AB5AC" w14:textId="77777777" w:rsidR="00937FDC" w:rsidRPr="0009718F" w:rsidRDefault="00937FDC" w:rsidP="00937FDC">
      <w:pPr>
        <w:pStyle w:val="BodyTextIndent"/>
        <w:ind w:left="0"/>
        <w:rPr>
          <w:sz w:val="12"/>
          <w:szCs w:val="12"/>
        </w:rPr>
      </w:pPr>
    </w:p>
    <w:p w14:paraId="52C82D3F" w14:textId="77777777" w:rsidR="00937FDC" w:rsidRPr="0009718F" w:rsidRDefault="00937FDC" w:rsidP="00937FDC">
      <w:pPr>
        <w:pStyle w:val="BodyTextIndent"/>
        <w:ind w:right="-288"/>
        <w:rPr>
          <w:sz w:val="24"/>
          <w:szCs w:val="24"/>
        </w:rPr>
      </w:pPr>
      <w:r w:rsidRPr="0009718F">
        <w:rPr>
          <w:sz w:val="24"/>
          <w:szCs w:val="24"/>
        </w:rPr>
        <w:t>There were no off balance sheet financial instruments as at the date of this announcement.</w:t>
      </w:r>
    </w:p>
    <w:p w14:paraId="647CB8B5" w14:textId="77777777" w:rsidR="00CC26CC" w:rsidRPr="0009718F" w:rsidRDefault="00CC26CC" w:rsidP="00937FDC">
      <w:pPr>
        <w:pStyle w:val="BodyTextIndent"/>
        <w:ind w:right="-288"/>
        <w:rPr>
          <w:sz w:val="24"/>
          <w:szCs w:val="24"/>
        </w:rPr>
      </w:pPr>
    </w:p>
    <w:p w14:paraId="1FC6DB09" w14:textId="77777777" w:rsidR="00195D62" w:rsidRPr="0009718F" w:rsidRDefault="00195D62" w:rsidP="00937FDC">
      <w:pPr>
        <w:pStyle w:val="BodyTextIndent"/>
        <w:ind w:right="-288"/>
        <w:rPr>
          <w:sz w:val="24"/>
          <w:szCs w:val="24"/>
        </w:rPr>
      </w:pPr>
    </w:p>
    <w:p w14:paraId="2ACDB599" w14:textId="2A216D2C" w:rsidR="00937FDC" w:rsidRPr="0009718F" w:rsidRDefault="00542AB4" w:rsidP="00937FDC">
      <w:pPr>
        <w:pStyle w:val="BodyTextIndent"/>
        <w:tabs>
          <w:tab w:val="left" w:pos="360"/>
        </w:tabs>
        <w:ind w:hanging="360"/>
        <w:rPr>
          <w:sz w:val="24"/>
          <w:szCs w:val="24"/>
        </w:rPr>
      </w:pPr>
      <w:r w:rsidRPr="0009718F">
        <w:rPr>
          <w:sz w:val="24"/>
          <w:szCs w:val="24"/>
          <w:lang w:val="en-GB"/>
        </w:rPr>
        <w:t>24</w:t>
      </w:r>
      <w:r w:rsidR="00937FDC" w:rsidRPr="0009718F">
        <w:rPr>
          <w:sz w:val="24"/>
          <w:szCs w:val="24"/>
        </w:rPr>
        <w:t>. CHANGES IN MATERIAL LITIGATION</w:t>
      </w:r>
    </w:p>
    <w:p w14:paraId="30BC7371" w14:textId="77777777" w:rsidR="00937FDC" w:rsidRPr="0009718F" w:rsidRDefault="00937FDC" w:rsidP="00937FDC">
      <w:pPr>
        <w:pStyle w:val="BodyTextIndent"/>
        <w:rPr>
          <w:sz w:val="12"/>
          <w:szCs w:val="12"/>
        </w:rPr>
      </w:pPr>
    </w:p>
    <w:p w14:paraId="48A58D1E" w14:textId="77777777" w:rsidR="00937FDC" w:rsidRPr="0009718F" w:rsidRDefault="00937FDC" w:rsidP="00937FDC">
      <w:pPr>
        <w:pStyle w:val="BodyTextIndent"/>
        <w:ind w:right="-288"/>
        <w:rPr>
          <w:sz w:val="24"/>
          <w:szCs w:val="24"/>
        </w:rPr>
      </w:pPr>
      <w:r w:rsidRPr="0009718F">
        <w:rPr>
          <w:sz w:val="24"/>
          <w:szCs w:val="24"/>
        </w:rPr>
        <w:t>There were no material changes in litigations which would have a material adverse effect on the financial results for the financial quarter under review.</w:t>
      </w:r>
      <w:r w:rsidRPr="0009718F">
        <w:rPr>
          <w:sz w:val="24"/>
          <w:szCs w:val="24"/>
        </w:rPr>
        <w:tab/>
      </w:r>
    </w:p>
    <w:p w14:paraId="1223944A" w14:textId="77777777" w:rsidR="00153D28" w:rsidRPr="0009718F" w:rsidRDefault="00153D28" w:rsidP="00937FDC">
      <w:pPr>
        <w:pStyle w:val="BodyTextIndent"/>
        <w:ind w:right="-288"/>
        <w:rPr>
          <w:sz w:val="24"/>
          <w:szCs w:val="24"/>
        </w:rPr>
      </w:pPr>
    </w:p>
    <w:p w14:paraId="79FC8CEF" w14:textId="77777777" w:rsidR="00195D62" w:rsidRPr="0009718F" w:rsidRDefault="00195D62" w:rsidP="00937FDC">
      <w:pPr>
        <w:pStyle w:val="BodyTextIndent"/>
        <w:ind w:right="-288"/>
        <w:rPr>
          <w:sz w:val="24"/>
          <w:szCs w:val="24"/>
        </w:rPr>
      </w:pPr>
    </w:p>
    <w:p w14:paraId="68B7938C" w14:textId="68191990" w:rsidR="00937FDC" w:rsidRPr="0009718F" w:rsidRDefault="00542AB4" w:rsidP="00937FDC">
      <w:pPr>
        <w:pStyle w:val="BodyTextIndent"/>
        <w:tabs>
          <w:tab w:val="left" w:pos="360"/>
        </w:tabs>
        <w:ind w:hanging="360"/>
        <w:rPr>
          <w:sz w:val="24"/>
          <w:szCs w:val="24"/>
        </w:rPr>
      </w:pPr>
      <w:r w:rsidRPr="0009718F">
        <w:rPr>
          <w:sz w:val="24"/>
          <w:szCs w:val="24"/>
          <w:lang w:val="en-GB"/>
        </w:rPr>
        <w:t>25</w:t>
      </w:r>
      <w:r w:rsidR="00937FDC" w:rsidRPr="0009718F">
        <w:rPr>
          <w:sz w:val="24"/>
          <w:szCs w:val="24"/>
        </w:rPr>
        <w:t>. DIVIDEND PAYABLE</w:t>
      </w:r>
    </w:p>
    <w:p w14:paraId="65A46342" w14:textId="77777777" w:rsidR="00937FDC" w:rsidRPr="0009718F" w:rsidRDefault="00937FDC" w:rsidP="00937FDC">
      <w:pPr>
        <w:pStyle w:val="BodyTextIndent"/>
        <w:rPr>
          <w:sz w:val="12"/>
          <w:szCs w:val="12"/>
        </w:rPr>
      </w:pPr>
    </w:p>
    <w:p w14:paraId="6E80CF6A" w14:textId="6E1963DF" w:rsidR="00D146BE" w:rsidRPr="0009718F" w:rsidRDefault="00937FDC" w:rsidP="008A26DF">
      <w:pPr>
        <w:pStyle w:val="BodyTextIndent"/>
        <w:ind w:right="-288"/>
        <w:rPr>
          <w:sz w:val="24"/>
          <w:szCs w:val="24"/>
          <w:lang w:val="en-US"/>
        </w:rPr>
      </w:pPr>
      <w:r w:rsidRPr="0009718F">
        <w:rPr>
          <w:sz w:val="24"/>
          <w:szCs w:val="24"/>
        </w:rPr>
        <w:t>No interim ordinary dividend has been declared for the financial period ended 3</w:t>
      </w:r>
      <w:r w:rsidR="00861928" w:rsidRPr="0009718F">
        <w:rPr>
          <w:sz w:val="24"/>
          <w:szCs w:val="24"/>
          <w:lang w:val="en-US"/>
        </w:rPr>
        <w:t>0th</w:t>
      </w:r>
      <w:r w:rsidRPr="0009718F">
        <w:rPr>
          <w:sz w:val="24"/>
          <w:szCs w:val="24"/>
        </w:rPr>
        <w:t xml:space="preserve"> </w:t>
      </w:r>
      <w:r w:rsidR="001D7CF9" w:rsidRPr="0009718F">
        <w:rPr>
          <w:sz w:val="24"/>
          <w:szCs w:val="24"/>
          <w:lang w:val="en-US"/>
        </w:rPr>
        <w:t>September</w:t>
      </w:r>
      <w:r w:rsidR="00861928" w:rsidRPr="0009718F">
        <w:rPr>
          <w:sz w:val="24"/>
          <w:szCs w:val="24"/>
          <w:lang w:val="en-US"/>
        </w:rPr>
        <w:t xml:space="preserve"> </w:t>
      </w:r>
      <w:r w:rsidR="00363529" w:rsidRPr="0009718F">
        <w:rPr>
          <w:sz w:val="24"/>
          <w:szCs w:val="24"/>
          <w:lang w:val="en-US"/>
        </w:rPr>
        <w:t>2017</w:t>
      </w:r>
      <w:r w:rsidRPr="0009718F">
        <w:rPr>
          <w:sz w:val="24"/>
          <w:szCs w:val="24"/>
        </w:rPr>
        <w:t xml:space="preserve"> (3</w:t>
      </w:r>
      <w:r w:rsidR="00861928" w:rsidRPr="0009718F">
        <w:rPr>
          <w:sz w:val="24"/>
          <w:szCs w:val="24"/>
          <w:lang w:val="en-US"/>
        </w:rPr>
        <w:t>0th</w:t>
      </w:r>
      <w:r w:rsidRPr="0009718F">
        <w:rPr>
          <w:sz w:val="24"/>
          <w:szCs w:val="24"/>
        </w:rPr>
        <w:t xml:space="preserve"> </w:t>
      </w:r>
      <w:r w:rsidR="001D7CF9" w:rsidRPr="0009718F">
        <w:rPr>
          <w:sz w:val="24"/>
          <w:szCs w:val="24"/>
          <w:lang w:val="en-US"/>
        </w:rPr>
        <w:t>September</w:t>
      </w:r>
      <w:r w:rsidR="00861928" w:rsidRPr="0009718F">
        <w:rPr>
          <w:sz w:val="24"/>
          <w:szCs w:val="24"/>
          <w:lang w:val="en-US"/>
        </w:rPr>
        <w:t xml:space="preserve"> </w:t>
      </w:r>
      <w:r w:rsidR="00363529" w:rsidRPr="0009718F">
        <w:rPr>
          <w:sz w:val="24"/>
          <w:szCs w:val="24"/>
          <w:lang w:val="en-US"/>
        </w:rPr>
        <w:t>2016</w:t>
      </w:r>
      <w:r w:rsidR="00E21C22" w:rsidRPr="0009718F">
        <w:rPr>
          <w:sz w:val="24"/>
          <w:szCs w:val="24"/>
        </w:rPr>
        <w:t>: N</w:t>
      </w:r>
      <w:r w:rsidR="00E21C22" w:rsidRPr="0009718F">
        <w:rPr>
          <w:sz w:val="24"/>
          <w:szCs w:val="24"/>
          <w:lang w:val="en-US"/>
        </w:rPr>
        <w:t>il)</w:t>
      </w:r>
    </w:p>
    <w:p w14:paraId="5EA1F9AF" w14:textId="3C9E3C13" w:rsidR="00721D89" w:rsidRDefault="00721D89">
      <w:pPr>
        <w:rPr>
          <w:sz w:val="24"/>
          <w:szCs w:val="24"/>
          <w:lang w:eastAsia="x-none"/>
        </w:rPr>
      </w:pPr>
    </w:p>
    <w:p w14:paraId="1D7366FE" w14:textId="77777777" w:rsidR="00940405" w:rsidRPr="0009718F" w:rsidRDefault="00940405">
      <w:pPr>
        <w:rPr>
          <w:sz w:val="24"/>
          <w:szCs w:val="24"/>
          <w:lang w:eastAsia="x-none"/>
        </w:rPr>
      </w:pPr>
    </w:p>
    <w:p w14:paraId="21F855C8" w14:textId="77777777" w:rsidR="009464A6" w:rsidRDefault="009464A6" w:rsidP="00937FDC">
      <w:pPr>
        <w:pStyle w:val="BodyTextIndent"/>
        <w:tabs>
          <w:tab w:val="left" w:pos="360"/>
        </w:tabs>
        <w:ind w:left="0"/>
        <w:rPr>
          <w:sz w:val="24"/>
          <w:szCs w:val="24"/>
          <w:lang w:val="en-GB"/>
        </w:rPr>
      </w:pPr>
    </w:p>
    <w:p w14:paraId="4EFF8D48" w14:textId="77777777" w:rsidR="009464A6" w:rsidRDefault="009464A6" w:rsidP="00937FDC">
      <w:pPr>
        <w:pStyle w:val="BodyTextIndent"/>
        <w:tabs>
          <w:tab w:val="left" w:pos="360"/>
        </w:tabs>
        <w:ind w:left="0"/>
        <w:rPr>
          <w:sz w:val="24"/>
          <w:szCs w:val="24"/>
          <w:lang w:val="en-GB"/>
        </w:rPr>
      </w:pPr>
    </w:p>
    <w:p w14:paraId="3CDBE2C4" w14:textId="77777777" w:rsidR="009464A6" w:rsidRDefault="009464A6" w:rsidP="00937FDC">
      <w:pPr>
        <w:pStyle w:val="BodyTextIndent"/>
        <w:tabs>
          <w:tab w:val="left" w:pos="360"/>
        </w:tabs>
        <w:ind w:left="0"/>
        <w:rPr>
          <w:sz w:val="24"/>
          <w:szCs w:val="24"/>
          <w:lang w:val="en-GB"/>
        </w:rPr>
      </w:pPr>
    </w:p>
    <w:p w14:paraId="5A974A59" w14:textId="77777777" w:rsidR="009464A6" w:rsidRDefault="009464A6" w:rsidP="00937FDC">
      <w:pPr>
        <w:pStyle w:val="BodyTextIndent"/>
        <w:tabs>
          <w:tab w:val="left" w:pos="360"/>
        </w:tabs>
        <w:ind w:left="0"/>
        <w:rPr>
          <w:sz w:val="24"/>
          <w:szCs w:val="24"/>
          <w:lang w:val="en-GB"/>
        </w:rPr>
      </w:pPr>
    </w:p>
    <w:p w14:paraId="790C2DAB" w14:textId="77777777" w:rsidR="009464A6" w:rsidRDefault="009464A6" w:rsidP="00937FDC">
      <w:pPr>
        <w:pStyle w:val="BodyTextIndent"/>
        <w:tabs>
          <w:tab w:val="left" w:pos="360"/>
        </w:tabs>
        <w:ind w:left="0"/>
        <w:rPr>
          <w:sz w:val="24"/>
          <w:szCs w:val="24"/>
          <w:lang w:val="en-GB"/>
        </w:rPr>
      </w:pPr>
    </w:p>
    <w:p w14:paraId="6340E431" w14:textId="77777777" w:rsidR="009464A6" w:rsidRDefault="009464A6" w:rsidP="00937FDC">
      <w:pPr>
        <w:pStyle w:val="BodyTextIndent"/>
        <w:tabs>
          <w:tab w:val="left" w:pos="360"/>
        </w:tabs>
        <w:ind w:left="0"/>
        <w:rPr>
          <w:sz w:val="24"/>
          <w:szCs w:val="24"/>
          <w:lang w:val="en-GB"/>
        </w:rPr>
      </w:pPr>
    </w:p>
    <w:p w14:paraId="4B7F1B5E" w14:textId="77777777" w:rsidR="009464A6" w:rsidRDefault="009464A6" w:rsidP="00937FDC">
      <w:pPr>
        <w:pStyle w:val="BodyTextIndent"/>
        <w:tabs>
          <w:tab w:val="left" w:pos="360"/>
        </w:tabs>
        <w:ind w:left="0"/>
        <w:rPr>
          <w:sz w:val="24"/>
          <w:szCs w:val="24"/>
          <w:lang w:val="en-GB"/>
        </w:rPr>
      </w:pPr>
    </w:p>
    <w:p w14:paraId="6649D0BE" w14:textId="77777777" w:rsidR="009464A6" w:rsidRDefault="009464A6" w:rsidP="00937FDC">
      <w:pPr>
        <w:pStyle w:val="BodyTextIndent"/>
        <w:tabs>
          <w:tab w:val="left" w:pos="360"/>
        </w:tabs>
        <w:ind w:left="0"/>
        <w:rPr>
          <w:sz w:val="24"/>
          <w:szCs w:val="24"/>
          <w:lang w:val="en-GB"/>
        </w:rPr>
      </w:pPr>
    </w:p>
    <w:p w14:paraId="38DA02EF" w14:textId="77777777" w:rsidR="009464A6" w:rsidRDefault="009464A6" w:rsidP="00937FDC">
      <w:pPr>
        <w:pStyle w:val="BodyTextIndent"/>
        <w:tabs>
          <w:tab w:val="left" w:pos="360"/>
        </w:tabs>
        <w:ind w:left="0"/>
        <w:rPr>
          <w:sz w:val="24"/>
          <w:szCs w:val="24"/>
          <w:lang w:val="en-GB"/>
        </w:rPr>
      </w:pPr>
    </w:p>
    <w:p w14:paraId="1EAF529C" w14:textId="77777777" w:rsidR="009464A6" w:rsidRDefault="009464A6" w:rsidP="00937FDC">
      <w:pPr>
        <w:pStyle w:val="BodyTextIndent"/>
        <w:tabs>
          <w:tab w:val="left" w:pos="360"/>
        </w:tabs>
        <w:ind w:left="0"/>
        <w:rPr>
          <w:sz w:val="24"/>
          <w:szCs w:val="24"/>
          <w:lang w:val="en-GB"/>
        </w:rPr>
      </w:pPr>
    </w:p>
    <w:p w14:paraId="4700DE99" w14:textId="77777777" w:rsidR="009464A6" w:rsidRDefault="009464A6" w:rsidP="00937FDC">
      <w:pPr>
        <w:pStyle w:val="BodyTextIndent"/>
        <w:tabs>
          <w:tab w:val="left" w:pos="360"/>
        </w:tabs>
        <w:ind w:left="0"/>
        <w:rPr>
          <w:sz w:val="24"/>
          <w:szCs w:val="24"/>
          <w:lang w:val="en-GB"/>
        </w:rPr>
      </w:pPr>
    </w:p>
    <w:p w14:paraId="076868B4" w14:textId="77777777" w:rsidR="009464A6" w:rsidRDefault="009464A6" w:rsidP="00937FDC">
      <w:pPr>
        <w:pStyle w:val="BodyTextIndent"/>
        <w:tabs>
          <w:tab w:val="left" w:pos="360"/>
        </w:tabs>
        <w:ind w:left="0"/>
        <w:rPr>
          <w:sz w:val="24"/>
          <w:szCs w:val="24"/>
          <w:lang w:val="en-GB"/>
        </w:rPr>
      </w:pPr>
    </w:p>
    <w:p w14:paraId="4B85820E" w14:textId="77777777" w:rsidR="009464A6" w:rsidRDefault="009464A6" w:rsidP="00937FDC">
      <w:pPr>
        <w:pStyle w:val="BodyTextIndent"/>
        <w:tabs>
          <w:tab w:val="left" w:pos="360"/>
        </w:tabs>
        <w:ind w:left="0"/>
        <w:rPr>
          <w:sz w:val="24"/>
          <w:szCs w:val="24"/>
          <w:lang w:val="en-GB"/>
        </w:rPr>
      </w:pPr>
    </w:p>
    <w:p w14:paraId="5BDB238F" w14:textId="77777777" w:rsidR="009464A6" w:rsidRDefault="009464A6" w:rsidP="00937FDC">
      <w:pPr>
        <w:pStyle w:val="BodyTextIndent"/>
        <w:tabs>
          <w:tab w:val="left" w:pos="360"/>
        </w:tabs>
        <w:ind w:left="0"/>
        <w:rPr>
          <w:sz w:val="24"/>
          <w:szCs w:val="24"/>
          <w:lang w:val="en-GB"/>
        </w:rPr>
      </w:pPr>
    </w:p>
    <w:p w14:paraId="00F001F0" w14:textId="77777777" w:rsidR="009464A6" w:rsidRDefault="009464A6" w:rsidP="00937FDC">
      <w:pPr>
        <w:pStyle w:val="BodyTextIndent"/>
        <w:tabs>
          <w:tab w:val="left" w:pos="360"/>
        </w:tabs>
        <w:ind w:left="0"/>
        <w:rPr>
          <w:sz w:val="24"/>
          <w:szCs w:val="24"/>
          <w:lang w:val="en-GB"/>
        </w:rPr>
      </w:pPr>
    </w:p>
    <w:p w14:paraId="730D2388" w14:textId="3E7D0679" w:rsidR="00937FDC" w:rsidRPr="0009718F" w:rsidRDefault="00542AB4" w:rsidP="00937FDC">
      <w:pPr>
        <w:pStyle w:val="BodyTextIndent"/>
        <w:tabs>
          <w:tab w:val="left" w:pos="360"/>
        </w:tabs>
        <w:ind w:left="0"/>
        <w:rPr>
          <w:sz w:val="24"/>
          <w:szCs w:val="24"/>
        </w:rPr>
      </w:pPr>
      <w:r w:rsidRPr="0009718F">
        <w:rPr>
          <w:sz w:val="24"/>
          <w:szCs w:val="24"/>
          <w:lang w:val="en-GB"/>
        </w:rPr>
        <w:lastRenderedPageBreak/>
        <w:t>26</w:t>
      </w:r>
      <w:r w:rsidR="00937FDC" w:rsidRPr="0009718F">
        <w:rPr>
          <w:sz w:val="24"/>
          <w:szCs w:val="24"/>
        </w:rPr>
        <w:t xml:space="preserve">. </w:t>
      </w:r>
      <w:r w:rsidR="000F4B0E" w:rsidRPr="0009718F">
        <w:rPr>
          <w:sz w:val="24"/>
          <w:szCs w:val="24"/>
          <w:lang w:val="en-US"/>
        </w:rPr>
        <w:t>LOSS</w:t>
      </w:r>
      <w:r w:rsidR="00F72253" w:rsidRPr="0009718F">
        <w:rPr>
          <w:sz w:val="24"/>
          <w:szCs w:val="24"/>
        </w:rPr>
        <w:t xml:space="preserve"> </w:t>
      </w:r>
      <w:r w:rsidR="00937FDC" w:rsidRPr="0009718F">
        <w:rPr>
          <w:sz w:val="24"/>
          <w:szCs w:val="24"/>
        </w:rPr>
        <w:t>PER ORDINARY SHARE</w:t>
      </w:r>
    </w:p>
    <w:p w14:paraId="5A191636" w14:textId="77777777" w:rsidR="00937FDC" w:rsidRPr="0009718F" w:rsidRDefault="00937FDC" w:rsidP="00937FDC">
      <w:pPr>
        <w:pStyle w:val="BodyTextIndent"/>
        <w:rPr>
          <w:sz w:val="12"/>
          <w:szCs w:val="12"/>
        </w:rPr>
      </w:pPr>
    </w:p>
    <w:p w14:paraId="0F75EE8F" w14:textId="77777777" w:rsidR="00937FDC" w:rsidRPr="0009718F" w:rsidRDefault="00937FDC" w:rsidP="00937FDC">
      <w:pPr>
        <w:pStyle w:val="BodyTextIndent"/>
        <w:ind w:right="-288"/>
        <w:rPr>
          <w:sz w:val="24"/>
          <w:szCs w:val="24"/>
        </w:rPr>
      </w:pPr>
      <w:r w:rsidRPr="0009718F">
        <w:rPr>
          <w:sz w:val="24"/>
          <w:szCs w:val="24"/>
        </w:rPr>
        <w:t xml:space="preserve">Basic </w:t>
      </w:r>
      <w:r w:rsidR="00B6631B" w:rsidRPr="0009718F">
        <w:rPr>
          <w:sz w:val="24"/>
          <w:szCs w:val="24"/>
          <w:lang w:val="en-US"/>
        </w:rPr>
        <w:t>loss</w:t>
      </w:r>
      <w:r w:rsidRPr="0009718F">
        <w:rPr>
          <w:sz w:val="24"/>
          <w:szCs w:val="24"/>
        </w:rPr>
        <w:t xml:space="preserve"> per share is calculated by dividing the net </w:t>
      </w:r>
      <w:r w:rsidR="00B6631B" w:rsidRPr="0009718F">
        <w:rPr>
          <w:sz w:val="24"/>
          <w:szCs w:val="24"/>
          <w:lang w:val="en-US"/>
        </w:rPr>
        <w:t>loss</w:t>
      </w:r>
      <w:r w:rsidRPr="0009718F">
        <w:rPr>
          <w:sz w:val="24"/>
          <w:szCs w:val="24"/>
        </w:rPr>
        <w:t xml:space="preserve"> for the period by the weighted average number of ordinary shares in issue during the period.</w:t>
      </w:r>
    </w:p>
    <w:p w14:paraId="3A4DAEBA" w14:textId="77777777" w:rsidR="00937FDC" w:rsidRPr="0009718F" w:rsidRDefault="00937FDC" w:rsidP="00937FDC">
      <w:pPr>
        <w:pStyle w:val="BodyTextIndent"/>
        <w:rPr>
          <w:sz w:val="12"/>
          <w:szCs w:val="12"/>
        </w:rPr>
      </w:pPr>
    </w:p>
    <w:bookmarkStart w:id="23" w:name="_MON_1391424644"/>
    <w:bookmarkStart w:id="24" w:name="_MON_1391424732"/>
    <w:bookmarkStart w:id="25" w:name="_MON_1391586824"/>
    <w:bookmarkStart w:id="26" w:name="_MON_1391606338"/>
    <w:bookmarkStart w:id="27" w:name="_MON_1391606396"/>
    <w:bookmarkStart w:id="28" w:name="_MON_1391860569"/>
    <w:bookmarkStart w:id="29" w:name="_MON_1383569598"/>
    <w:bookmarkStart w:id="30" w:name="_MON_1390831477"/>
    <w:bookmarkEnd w:id="23"/>
    <w:bookmarkEnd w:id="24"/>
    <w:bookmarkEnd w:id="25"/>
    <w:bookmarkEnd w:id="26"/>
    <w:bookmarkEnd w:id="27"/>
    <w:bookmarkEnd w:id="28"/>
    <w:bookmarkEnd w:id="29"/>
    <w:bookmarkEnd w:id="30"/>
    <w:bookmarkStart w:id="31" w:name="_MON_1390887957"/>
    <w:bookmarkEnd w:id="31"/>
    <w:p w14:paraId="5134FA0C" w14:textId="5575E7BD" w:rsidR="00937FDC" w:rsidRPr="0009718F" w:rsidRDefault="009568C1" w:rsidP="00937FDC">
      <w:pPr>
        <w:pStyle w:val="BodyTextIndent"/>
        <w:rPr>
          <w:sz w:val="12"/>
          <w:szCs w:val="12"/>
        </w:rPr>
      </w:pPr>
      <w:r w:rsidRPr="0009718F">
        <w:rPr>
          <w:sz w:val="24"/>
          <w:szCs w:val="24"/>
        </w:rPr>
        <w:object w:dxaOrig="8294" w:dyaOrig="2666" w14:anchorId="4C819DF2">
          <v:shape id="_x0000_i1028" type="#_x0000_t75" style="width:417pt;height:134.25pt" o:ole="">
            <v:imagedata r:id="rId16" o:title=""/>
          </v:shape>
          <o:OLEObject Type="Embed" ProgID="Excel.Sheet.8" ShapeID="_x0000_i1028" DrawAspect="Content" ObjectID="_1572760271" r:id="rId17"/>
        </w:object>
      </w:r>
    </w:p>
    <w:p w14:paraId="78698E73" w14:textId="58D7A360" w:rsidR="00937FDC" w:rsidRPr="0009718F" w:rsidRDefault="00937FDC" w:rsidP="00937FDC">
      <w:pPr>
        <w:pStyle w:val="BodyTextIndent"/>
        <w:ind w:right="-288"/>
        <w:rPr>
          <w:sz w:val="24"/>
          <w:szCs w:val="24"/>
        </w:rPr>
      </w:pPr>
      <w:r w:rsidRPr="0009718F">
        <w:rPr>
          <w:sz w:val="24"/>
          <w:szCs w:val="24"/>
        </w:rPr>
        <w:t xml:space="preserve">The basic </w:t>
      </w:r>
      <w:r w:rsidR="00DE06DB" w:rsidRPr="0009718F">
        <w:rPr>
          <w:sz w:val="24"/>
          <w:szCs w:val="24"/>
          <w:lang w:val="en-US"/>
        </w:rPr>
        <w:t>loss</w:t>
      </w:r>
      <w:r w:rsidRPr="0009718F">
        <w:rPr>
          <w:sz w:val="24"/>
          <w:szCs w:val="24"/>
        </w:rPr>
        <w:t xml:space="preserve"> per share is not subject to dilution as there is no dilutive effect of any potential ordinary shares.</w:t>
      </w:r>
    </w:p>
    <w:p w14:paraId="63A37104" w14:textId="6E2909B7" w:rsidR="00363529" w:rsidRPr="0009718F" w:rsidRDefault="00363529" w:rsidP="00937FDC">
      <w:pPr>
        <w:pStyle w:val="BodyTextIndent"/>
        <w:ind w:right="-288"/>
        <w:rPr>
          <w:sz w:val="24"/>
          <w:szCs w:val="24"/>
        </w:rPr>
      </w:pPr>
    </w:p>
    <w:p w14:paraId="3766A59F" w14:textId="77777777" w:rsidR="00363529" w:rsidRPr="0009718F" w:rsidRDefault="00363529" w:rsidP="00937FDC">
      <w:pPr>
        <w:pStyle w:val="BodyTextIndent"/>
        <w:ind w:right="-288"/>
        <w:rPr>
          <w:sz w:val="24"/>
          <w:szCs w:val="24"/>
        </w:rPr>
      </w:pPr>
    </w:p>
    <w:p w14:paraId="048AC7CB" w14:textId="30D9A0C4" w:rsidR="00937FDC" w:rsidRPr="0009718F" w:rsidRDefault="00542AB4" w:rsidP="009464A6">
      <w:pPr>
        <w:rPr>
          <w:sz w:val="24"/>
          <w:szCs w:val="24"/>
        </w:rPr>
      </w:pPr>
      <w:r w:rsidRPr="0009718F">
        <w:rPr>
          <w:sz w:val="24"/>
          <w:szCs w:val="24"/>
          <w:lang w:val="en-GB"/>
        </w:rPr>
        <w:t>27</w:t>
      </w:r>
      <w:r w:rsidR="00937FDC" w:rsidRPr="0009718F">
        <w:rPr>
          <w:sz w:val="24"/>
          <w:szCs w:val="24"/>
        </w:rPr>
        <w:t>. REALISED AND UNREALISED LOSSES DISCLOSURE</w:t>
      </w:r>
    </w:p>
    <w:p w14:paraId="5B1F6D84" w14:textId="77777777" w:rsidR="00937FDC" w:rsidRPr="0009718F" w:rsidRDefault="00937FDC" w:rsidP="00937FDC">
      <w:pPr>
        <w:pStyle w:val="BodyTextIndent"/>
        <w:ind w:right="-288" w:hanging="360"/>
        <w:rPr>
          <w:sz w:val="12"/>
          <w:szCs w:val="12"/>
        </w:rPr>
      </w:pPr>
    </w:p>
    <w:p w14:paraId="648C3BD1" w14:textId="064123F8" w:rsidR="00AA7EEC" w:rsidRPr="0009718F" w:rsidRDefault="00937FDC" w:rsidP="003D4382">
      <w:pPr>
        <w:pStyle w:val="BodyTextIndent"/>
        <w:ind w:right="-288" w:hanging="360"/>
        <w:rPr>
          <w:sz w:val="24"/>
          <w:szCs w:val="24"/>
        </w:rPr>
      </w:pPr>
      <w:r w:rsidRPr="0009718F">
        <w:rPr>
          <w:sz w:val="24"/>
          <w:szCs w:val="24"/>
        </w:rPr>
        <w:tab/>
      </w:r>
      <w:bookmarkStart w:id="32" w:name="_MON_1391587124"/>
      <w:bookmarkStart w:id="33" w:name="_MON_1391606481"/>
      <w:bookmarkStart w:id="34" w:name="_MON_1391860652"/>
      <w:bookmarkStart w:id="35" w:name="_MON_1383571263"/>
      <w:bookmarkStart w:id="36" w:name="_MON_1390888842"/>
      <w:bookmarkStart w:id="37" w:name="_MON_1390889102"/>
      <w:bookmarkStart w:id="38" w:name="_MON_1390889157"/>
      <w:bookmarkEnd w:id="32"/>
      <w:bookmarkEnd w:id="33"/>
      <w:bookmarkEnd w:id="34"/>
      <w:bookmarkEnd w:id="35"/>
      <w:bookmarkEnd w:id="36"/>
      <w:bookmarkEnd w:id="37"/>
      <w:bookmarkEnd w:id="38"/>
      <w:bookmarkStart w:id="39" w:name="_MON_1391424782"/>
      <w:bookmarkEnd w:id="39"/>
      <w:r w:rsidR="00E02F48" w:rsidRPr="0009718F">
        <w:rPr>
          <w:sz w:val="24"/>
          <w:szCs w:val="24"/>
        </w:rPr>
        <w:object w:dxaOrig="9287" w:dyaOrig="6731" w14:anchorId="23952435">
          <v:shape id="_x0000_i1029" type="#_x0000_t75" style="width:466.5pt;height:335.25pt" o:ole="">
            <v:imagedata r:id="rId18" o:title=""/>
          </v:shape>
          <o:OLEObject Type="Embed" ProgID="Excel.Sheet.8" ShapeID="_x0000_i1029" DrawAspect="Content" ObjectID="_1572760272" r:id="rId19"/>
        </w:object>
      </w:r>
    </w:p>
    <w:p w14:paraId="72DF9FA2" w14:textId="77777777" w:rsidR="00AA7EEC" w:rsidRPr="0009718F" w:rsidRDefault="00AA7EEC" w:rsidP="00937FDC">
      <w:pPr>
        <w:tabs>
          <w:tab w:val="left" w:pos="360"/>
        </w:tabs>
        <w:ind w:left="360" w:hanging="360"/>
        <w:rPr>
          <w:sz w:val="24"/>
          <w:szCs w:val="24"/>
        </w:rPr>
      </w:pPr>
    </w:p>
    <w:p w14:paraId="07FBFA79" w14:textId="281EBFF1" w:rsidR="00937FDC" w:rsidRPr="0009718F" w:rsidRDefault="00542AB4" w:rsidP="00937FDC">
      <w:pPr>
        <w:tabs>
          <w:tab w:val="left" w:pos="360"/>
        </w:tabs>
        <w:ind w:left="360" w:hanging="360"/>
        <w:rPr>
          <w:sz w:val="24"/>
          <w:szCs w:val="24"/>
        </w:rPr>
      </w:pPr>
      <w:r w:rsidRPr="0009718F">
        <w:rPr>
          <w:sz w:val="24"/>
          <w:szCs w:val="24"/>
        </w:rPr>
        <w:t>28</w:t>
      </w:r>
      <w:r w:rsidR="00AA7EEC" w:rsidRPr="0009718F">
        <w:rPr>
          <w:sz w:val="24"/>
          <w:szCs w:val="24"/>
        </w:rPr>
        <w:t xml:space="preserve">. </w:t>
      </w:r>
      <w:r w:rsidR="00937FDC" w:rsidRPr="0009718F">
        <w:rPr>
          <w:sz w:val="24"/>
          <w:szCs w:val="24"/>
        </w:rPr>
        <w:t>AUTHORISATION FOR ISSUE</w:t>
      </w:r>
      <w:r w:rsidR="00526936" w:rsidRPr="0009718F">
        <w:rPr>
          <w:sz w:val="24"/>
          <w:szCs w:val="24"/>
        </w:rPr>
        <w:t xml:space="preserve"> </w:t>
      </w:r>
    </w:p>
    <w:p w14:paraId="68C4A7BB" w14:textId="77777777" w:rsidR="00937FDC" w:rsidRPr="0009718F" w:rsidRDefault="00937FDC" w:rsidP="00937FDC">
      <w:pPr>
        <w:rPr>
          <w:sz w:val="12"/>
          <w:szCs w:val="12"/>
        </w:rPr>
      </w:pPr>
    </w:p>
    <w:p w14:paraId="17C39D97" w14:textId="5D9AE690" w:rsidR="003D1B5D" w:rsidRPr="0009718F" w:rsidRDefault="00937FDC" w:rsidP="00E02F48">
      <w:pPr>
        <w:ind w:left="360" w:right="-288"/>
        <w:jc w:val="both"/>
        <w:rPr>
          <w:sz w:val="24"/>
          <w:szCs w:val="24"/>
        </w:rPr>
      </w:pPr>
      <w:r w:rsidRPr="0009718F">
        <w:rPr>
          <w:sz w:val="24"/>
          <w:szCs w:val="24"/>
        </w:rPr>
        <w:t xml:space="preserve">The interim financial statements were authorised for issue by the Board of Directors in accordance with a resolution of the directors on </w:t>
      </w:r>
      <w:r w:rsidR="002952BE" w:rsidRPr="0009718F">
        <w:rPr>
          <w:sz w:val="24"/>
          <w:szCs w:val="24"/>
        </w:rPr>
        <w:t>21st November</w:t>
      </w:r>
      <w:r w:rsidR="0041131B" w:rsidRPr="0009718F">
        <w:rPr>
          <w:sz w:val="24"/>
          <w:szCs w:val="24"/>
        </w:rPr>
        <w:t xml:space="preserve"> </w:t>
      </w:r>
      <w:r w:rsidRPr="0009718F">
        <w:rPr>
          <w:sz w:val="24"/>
          <w:szCs w:val="24"/>
        </w:rPr>
        <w:t>201</w:t>
      </w:r>
      <w:r w:rsidR="00B61B76" w:rsidRPr="0009718F">
        <w:rPr>
          <w:sz w:val="24"/>
          <w:szCs w:val="24"/>
        </w:rPr>
        <w:t>7</w:t>
      </w:r>
      <w:r w:rsidRPr="0009718F">
        <w:rPr>
          <w:sz w:val="24"/>
          <w:szCs w:val="24"/>
        </w:rPr>
        <w:t>.</w:t>
      </w:r>
    </w:p>
    <w:sectPr w:rsidR="003D1B5D" w:rsidRPr="0009718F" w:rsidSect="00826988">
      <w:type w:val="continuous"/>
      <w:pgSz w:w="11909" w:h="16834" w:code="9"/>
      <w:pgMar w:top="1440" w:right="1797" w:bottom="72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273AF" w14:textId="77777777" w:rsidR="00F05AFA" w:rsidRDefault="00F05AFA" w:rsidP="00B56408">
      <w:r>
        <w:separator/>
      </w:r>
    </w:p>
  </w:endnote>
  <w:endnote w:type="continuationSeparator" w:id="0">
    <w:p w14:paraId="7A97AA00" w14:textId="77777777" w:rsidR="00F05AFA" w:rsidRDefault="00F05AFA" w:rsidP="00B56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B3691" w14:textId="77777777" w:rsidR="00F05AFA" w:rsidRDefault="00F05AFA" w:rsidP="003C5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891119" w14:textId="77777777" w:rsidR="00F05AFA" w:rsidRDefault="00F05AFA" w:rsidP="003C5A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82F47" w14:textId="53CAC18C" w:rsidR="00F05AFA" w:rsidRDefault="00F05AFA" w:rsidP="003C5A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6CC5">
      <w:rPr>
        <w:rStyle w:val="PageNumber"/>
        <w:noProof/>
      </w:rPr>
      <w:t>1</w:t>
    </w:r>
    <w:r>
      <w:rPr>
        <w:rStyle w:val="PageNumber"/>
      </w:rPr>
      <w:fldChar w:fldCharType="end"/>
    </w:r>
  </w:p>
  <w:p w14:paraId="6B2A9DD1" w14:textId="77777777" w:rsidR="00F05AFA" w:rsidRDefault="00F05AFA" w:rsidP="003C5A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446B5" w14:textId="77777777" w:rsidR="00F05AFA" w:rsidRDefault="00F05AFA" w:rsidP="00B56408">
      <w:r>
        <w:separator/>
      </w:r>
    </w:p>
  </w:footnote>
  <w:footnote w:type="continuationSeparator" w:id="0">
    <w:p w14:paraId="59CD817E" w14:textId="77777777" w:rsidR="00F05AFA" w:rsidRDefault="00F05AFA" w:rsidP="00B56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062EA"/>
    <w:multiLevelType w:val="hybridMultilevel"/>
    <w:tmpl w:val="B8D661DE"/>
    <w:lvl w:ilvl="0" w:tplc="043E0019">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15:restartNumberingAfterBreak="0">
    <w:nsid w:val="14386FBA"/>
    <w:multiLevelType w:val="hybridMultilevel"/>
    <w:tmpl w:val="EC704292"/>
    <w:lvl w:ilvl="0" w:tplc="043E000F">
      <w:start w:val="4"/>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 w15:restartNumberingAfterBreak="0">
    <w:nsid w:val="2AC03E57"/>
    <w:multiLevelType w:val="hybridMultilevel"/>
    <w:tmpl w:val="C1821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BA5B8E"/>
    <w:multiLevelType w:val="hybridMultilevel"/>
    <w:tmpl w:val="2DA69900"/>
    <w:lvl w:ilvl="0" w:tplc="5EA08F18">
      <w:start w:val="4"/>
      <w:numFmt w:val="decimal"/>
      <w:suff w:val="space"/>
      <w:lvlText w:val="%1."/>
      <w:lvlJc w:val="left"/>
      <w:pPr>
        <w:ind w:left="1328" w:hanging="1186"/>
      </w:pPr>
      <w:rPr>
        <w:rFonts w:hint="default"/>
      </w:rPr>
    </w:lvl>
    <w:lvl w:ilvl="1" w:tplc="043E0019">
      <w:start w:val="1"/>
      <w:numFmt w:val="lowerLetter"/>
      <w:lvlText w:val="%2."/>
      <w:lvlJc w:val="left"/>
      <w:pPr>
        <w:ind w:left="324" w:hanging="360"/>
      </w:pPr>
    </w:lvl>
    <w:lvl w:ilvl="2" w:tplc="043E001B" w:tentative="1">
      <w:start w:val="1"/>
      <w:numFmt w:val="lowerRoman"/>
      <w:lvlText w:val="%3."/>
      <w:lvlJc w:val="right"/>
      <w:pPr>
        <w:ind w:left="1044" w:hanging="180"/>
      </w:pPr>
    </w:lvl>
    <w:lvl w:ilvl="3" w:tplc="043E000F" w:tentative="1">
      <w:start w:val="1"/>
      <w:numFmt w:val="decimal"/>
      <w:lvlText w:val="%4."/>
      <w:lvlJc w:val="left"/>
      <w:pPr>
        <w:ind w:left="1764" w:hanging="360"/>
      </w:pPr>
    </w:lvl>
    <w:lvl w:ilvl="4" w:tplc="043E0019" w:tentative="1">
      <w:start w:val="1"/>
      <w:numFmt w:val="lowerLetter"/>
      <w:lvlText w:val="%5."/>
      <w:lvlJc w:val="left"/>
      <w:pPr>
        <w:ind w:left="2484" w:hanging="360"/>
      </w:pPr>
    </w:lvl>
    <w:lvl w:ilvl="5" w:tplc="043E001B" w:tentative="1">
      <w:start w:val="1"/>
      <w:numFmt w:val="lowerRoman"/>
      <w:lvlText w:val="%6."/>
      <w:lvlJc w:val="right"/>
      <w:pPr>
        <w:ind w:left="3204" w:hanging="180"/>
      </w:pPr>
    </w:lvl>
    <w:lvl w:ilvl="6" w:tplc="043E000F" w:tentative="1">
      <w:start w:val="1"/>
      <w:numFmt w:val="decimal"/>
      <w:lvlText w:val="%7."/>
      <w:lvlJc w:val="left"/>
      <w:pPr>
        <w:ind w:left="3924" w:hanging="360"/>
      </w:pPr>
    </w:lvl>
    <w:lvl w:ilvl="7" w:tplc="043E0019" w:tentative="1">
      <w:start w:val="1"/>
      <w:numFmt w:val="lowerLetter"/>
      <w:lvlText w:val="%8."/>
      <w:lvlJc w:val="left"/>
      <w:pPr>
        <w:ind w:left="4644" w:hanging="360"/>
      </w:pPr>
    </w:lvl>
    <w:lvl w:ilvl="8" w:tplc="043E001B" w:tentative="1">
      <w:start w:val="1"/>
      <w:numFmt w:val="lowerRoman"/>
      <w:lvlText w:val="%9."/>
      <w:lvlJc w:val="right"/>
      <w:pPr>
        <w:ind w:left="5364" w:hanging="180"/>
      </w:pPr>
    </w:lvl>
  </w:abstractNum>
  <w:abstractNum w:abstractNumId="4" w15:restartNumberingAfterBreak="0">
    <w:nsid w:val="34CB00D9"/>
    <w:multiLevelType w:val="hybridMultilevel"/>
    <w:tmpl w:val="0012FBF4"/>
    <w:lvl w:ilvl="0" w:tplc="043E000F">
      <w:start w:val="4"/>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5" w15:restartNumberingAfterBreak="0">
    <w:nsid w:val="3A645A5F"/>
    <w:multiLevelType w:val="hybridMultilevel"/>
    <w:tmpl w:val="40B83024"/>
    <w:lvl w:ilvl="0" w:tplc="9C1C8CE2">
      <w:start w:val="15"/>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6" w15:restartNumberingAfterBreak="0">
    <w:nsid w:val="3EF80060"/>
    <w:multiLevelType w:val="hybridMultilevel"/>
    <w:tmpl w:val="157CB10A"/>
    <w:lvl w:ilvl="0" w:tplc="04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F3F1999"/>
    <w:multiLevelType w:val="hybridMultilevel"/>
    <w:tmpl w:val="4A843378"/>
    <w:lvl w:ilvl="0" w:tplc="043E0019">
      <w:start w:val="1"/>
      <w:numFmt w:val="lowerLetter"/>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8" w15:restartNumberingAfterBreak="0">
    <w:nsid w:val="57214267"/>
    <w:multiLevelType w:val="hybridMultilevel"/>
    <w:tmpl w:val="0284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A500F8"/>
    <w:multiLevelType w:val="hybridMultilevel"/>
    <w:tmpl w:val="1138F710"/>
    <w:lvl w:ilvl="0" w:tplc="E1F2AD72">
      <w:start w:val="1"/>
      <w:numFmt w:val="lowerLetter"/>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6544FC4"/>
    <w:multiLevelType w:val="hybridMultilevel"/>
    <w:tmpl w:val="BA62D404"/>
    <w:lvl w:ilvl="0" w:tplc="D370F2AE">
      <w:start w:val="3"/>
      <w:numFmt w:val="decimal"/>
      <w:lvlText w:val="%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0"/>
  </w:num>
  <w:num w:numId="3">
    <w:abstractNumId w:val="1"/>
  </w:num>
  <w:num w:numId="4">
    <w:abstractNumId w:val="4"/>
  </w:num>
  <w:num w:numId="5">
    <w:abstractNumId w:val="3"/>
  </w:num>
  <w:num w:numId="6">
    <w:abstractNumId w:val="0"/>
  </w:num>
  <w:num w:numId="7">
    <w:abstractNumId w:val="2"/>
  </w:num>
  <w:num w:numId="8">
    <w:abstractNumId w:val="5"/>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DC"/>
    <w:rsid w:val="00002F41"/>
    <w:rsid w:val="0000391D"/>
    <w:rsid w:val="000133A5"/>
    <w:rsid w:val="00013FE7"/>
    <w:rsid w:val="00014179"/>
    <w:rsid w:val="00014E51"/>
    <w:rsid w:val="000172CA"/>
    <w:rsid w:val="000217A6"/>
    <w:rsid w:val="00025DD6"/>
    <w:rsid w:val="000269B5"/>
    <w:rsid w:val="00026CC1"/>
    <w:rsid w:val="00032D36"/>
    <w:rsid w:val="00033271"/>
    <w:rsid w:val="00034802"/>
    <w:rsid w:val="0003488A"/>
    <w:rsid w:val="000352A4"/>
    <w:rsid w:val="00035C7A"/>
    <w:rsid w:val="00037976"/>
    <w:rsid w:val="00037FB9"/>
    <w:rsid w:val="00046CAD"/>
    <w:rsid w:val="0005051C"/>
    <w:rsid w:val="00051024"/>
    <w:rsid w:val="00051818"/>
    <w:rsid w:val="00051938"/>
    <w:rsid w:val="0005462F"/>
    <w:rsid w:val="00056CCB"/>
    <w:rsid w:val="00056EC3"/>
    <w:rsid w:val="00061C68"/>
    <w:rsid w:val="0006203A"/>
    <w:rsid w:val="00066238"/>
    <w:rsid w:val="00067300"/>
    <w:rsid w:val="00067A1E"/>
    <w:rsid w:val="00067BF6"/>
    <w:rsid w:val="00073370"/>
    <w:rsid w:val="00076BD1"/>
    <w:rsid w:val="00081813"/>
    <w:rsid w:val="00083940"/>
    <w:rsid w:val="00090C2B"/>
    <w:rsid w:val="00093776"/>
    <w:rsid w:val="000944A0"/>
    <w:rsid w:val="00094745"/>
    <w:rsid w:val="00095925"/>
    <w:rsid w:val="00095DD5"/>
    <w:rsid w:val="0009718F"/>
    <w:rsid w:val="000A05EC"/>
    <w:rsid w:val="000A13AA"/>
    <w:rsid w:val="000A78A4"/>
    <w:rsid w:val="000A79DF"/>
    <w:rsid w:val="000B076D"/>
    <w:rsid w:val="000C1823"/>
    <w:rsid w:val="000C529A"/>
    <w:rsid w:val="000D10A3"/>
    <w:rsid w:val="000D311D"/>
    <w:rsid w:val="000D558D"/>
    <w:rsid w:val="000D61EF"/>
    <w:rsid w:val="000D75D2"/>
    <w:rsid w:val="000E075C"/>
    <w:rsid w:val="000E2953"/>
    <w:rsid w:val="000E3944"/>
    <w:rsid w:val="000E3DB1"/>
    <w:rsid w:val="000E49EB"/>
    <w:rsid w:val="000E5B7D"/>
    <w:rsid w:val="000E657A"/>
    <w:rsid w:val="000E743F"/>
    <w:rsid w:val="000E7C58"/>
    <w:rsid w:val="000F1F13"/>
    <w:rsid w:val="000F444E"/>
    <w:rsid w:val="000F4B0E"/>
    <w:rsid w:val="000F699E"/>
    <w:rsid w:val="001046A1"/>
    <w:rsid w:val="0010552C"/>
    <w:rsid w:val="00110BB6"/>
    <w:rsid w:val="00112573"/>
    <w:rsid w:val="00114A37"/>
    <w:rsid w:val="00114C19"/>
    <w:rsid w:val="001159B2"/>
    <w:rsid w:val="00117CA9"/>
    <w:rsid w:val="00121861"/>
    <w:rsid w:val="00132423"/>
    <w:rsid w:val="00135D54"/>
    <w:rsid w:val="00136AAE"/>
    <w:rsid w:val="00136CA9"/>
    <w:rsid w:val="00136CAE"/>
    <w:rsid w:val="00146330"/>
    <w:rsid w:val="00150935"/>
    <w:rsid w:val="00150D06"/>
    <w:rsid w:val="0015247E"/>
    <w:rsid w:val="00153D28"/>
    <w:rsid w:val="00154FEB"/>
    <w:rsid w:val="001557E7"/>
    <w:rsid w:val="001560F3"/>
    <w:rsid w:val="00156B5D"/>
    <w:rsid w:val="001617A4"/>
    <w:rsid w:val="00167C6D"/>
    <w:rsid w:val="00171C8D"/>
    <w:rsid w:val="0018508F"/>
    <w:rsid w:val="00186041"/>
    <w:rsid w:val="0019045C"/>
    <w:rsid w:val="001915EB"/>
    <w:rsid w:val="001922B5"/>
    <w:rsid w:val="001932E2"/>
    <w:rsid w:val="001944DE"/>
    <w:rsid w:val="001955A2"/>
    <w:rsid w:val="00195918"/>
    <w:rsid w:val="00195D62"/>
    <w:rsid w:val="001A095C"/>
    <w:rsid w:val="001A136D"/>
    <w:rsid w:val="001A4381"/>
    <w:rsid w:val="001A59CA"/>
    <w:rsid w:val="001A65CE"/>
    <w:rsid w:val="001A71BE"/>
    <w:rsid w:val="001A7BA9"/>
    <w:rsid w:val="001B0E92"/>
    <w:rsid w:val="001B1B9B"/>
    <w:rsid w:val="001B372F"/>
    <w:rsid w:val="001B65E2"/>
    <w:rsid w:val="001C0054"/>
    <w:rsid w:val="001C2F96"/>
    <w:rsid w:val="001C49BF"/>
    <w:rsid w:val="001C4D72"/>
    <w:rsid w:val="001C5E7E"/>
    <w:rsid w:val="001C7FF4"/>
    <w:rsid w:val="001D0A61"/>
    <w:rsid w:val="001D3438"/>
    <w:rsid w:val="001D44FF"/>
    <w:rsid w:val="001D5494"/>
    <w:rsid w:val="001D69B2"/>
    <w:rsid w:val="001D7CF9"/>
    <w:rsid w:val="001E3D17"/>
    <w:rsid w:val="001E4115"/>
    <w:rsid w:val="001E6B96"/>
    <w:rsid w:val="001F0A92"/>
    <w:rsid w:val="001F0B6B"/>
    <w:rsid w:val="001F7E06"/>
    <w:rsid w:val="00202519"/>
    <w:rsid w:val="002026D2"/>
    <w:rsid w:val="00203ECC"/>
    <w:rsid w:val="002045DD"/>
    <w:rsid w:val="00204816"/>
    <w:rsid w:val="002072FC"/>
    <w:rsid w:val="00210A53"/>
    <w:rsid w:val="00212CBC"/>
    <w:rsid w:val="00214C04"/>
    <w:rsid w:val="0021791E"/>
    <w:rsid w:val="00220C21"/>
    <w:rsid w:val="00220ED7"/>
    <w:rsid w:val="00224ED4"/>
    <w:rsid w:val="00230842"/>
    <w:rsid w:val="00231C7F"/>
    <w:rsid w:val="00233B36"/>
    <w:rsid w:val="00235833"/>
    <w:rsid w:val="00235E44"/>
    <w:rsid w:val="00241954"/>
    <w:rsid w:val="00242588"/>
    <w:rsid w:val="002427D0"/>
    <w:rsid w:val="0024286A"/>
    <w:rsid w:val="00242FBE"/>
    <w:rsid w:val="0024617D"/>
    <w:rsid w:val="00251C03"/>
    <w:rsid w:val="00252447"/>
    <w:rsid w:val="00254D88"/>
    <w:rsid w:val="00260409"/>
    <w:rsid w:val="0026068D"/>
    <w:rsid w:val="00262A37"/>
    <w:rsid w:val="002662B3"/>
    <w:rsid w:val="002665CD"/>
    <w:rsid w:val="00267EFE"/>
    <w:rsid w:val="00273FAF"/>
    <w:rsid w:val="00274901"/>
    <w:rsid w:val="00275A94"/>
    <w:rsid w:val="00283CCB"/>
    <w:rsid w:val="00285A01"/>
    <w:rsid w:val="002935BD"/>
    <w:rsid w:val="00294226"/>
    <w:rsid w:val="002952BE"/>
    <w:rsid w:val="002960A4"/>
    <w:rsid w:val="002963F0"/>
    <w:rsid w:val="002965DA"/>
    <w:rsid w:val="00297F0D"/>
    <w:rsid w:val="002A02DE"/>
    <w:rsid w:val="002A2F62"/>
    <w:rsid w:val="002A4642"/>
    <w:rsid w:val="002A5967"/>
    <w:rsid w:val="002A5B09"/>
    <w:rsid w:val="002A7639"/>
    <w:rsid w:val="002B4121"/>
    <w:rsid w:val="002B45BE"/>
    <w:rsid w:val="002B54B4"/>
    <w:rsid w:val="002B5572"/>
    <w:rsid w:val="002B5D4E"/>
    <w:rsid w:val="002B7645"/>
    <w:rsid w:val="002B7B92"/>
    <w:rsid w:val="002C0941"/>
    <w:rsid w:val="002D2018"/>
    <w:rsid w:val="002D33AC"/>
    <w:rsid w:val="002D40C8"/>
    <w:rsid w:val="002D4B09"/>
    <w:rsid w:val="002D5E2E"/>
    <w:rsid w:val="002D5E2F"/>
    <w:rsid w:val="002E692C"/>
    <w:rsid w:val="002E7B8C"/>
    <w:rsid w:val="002F0A1A"/>
    <w:rsid w:val="002F0D95"/>
    <w:rsid w:val="002F1FC6"/>
    <w:rsid w:val="002F2523"/>
    <w:rsid w:val="002F3117"/>
    <w:rsid w:val="002F3C22"/>
    <w:rsid w:val="002F4AC4"/>
    <w:rsid w:val="002F5FBF"/>
    <w:rsid w:val="002F7E8C"/>
    <w:rsid w:val="003069D1"/>
    <w:rsid w:val="0031281B"/>
    <w:rsid w:val="0031504E"/>
    <w:rsid w:val="00324C5F"/>
    <w:rsid w:val="00326B01"/>
    <w:rsid w:val="00327F1B"/>
    <w:rsid w:val="00331CC8"/>
    <w:rsid w:val="003321FF"/>
    <w:rsid w:val="0033256B"/>
    <w:rsid w:val="00333D6B"/>
    <w:rsid w:val="00335987"/>
    <w:rsid w:val="0034037C"/>
    <w:rsid w:val="003415F4"/>
    <w:rsid w:val="003418D0"/>
    <w:rsid w:val="0034426E"/>
    <w:rsid w:val="003442EC"/>
    <w:rsid w:val="00344EC6"/>
    <w:rsid w:val="0034540D"/>
    <w:rsid w:val="00345590"/>
    <w:rsid w:val="00347299"/>
    <w:rsid w:val="00350F3F"/>
    <w:rsid w:val="003517DC"/>
    <w:rsid w:val="003558F6"/>
    <w:rsid w:val="003574C5"/>
    <w:rsid w:val="00357674"/>
    <w:rsid w:val="00360A62"/>
    <w:rsid w:val="0036204F"/>
    <w:rsid w:val="00362539"/>
    <w:rsid w:val="00362769"/>
    <w:rsid w:val="00363529"/>
    <w:rsid w:val="003667ED"/>
    <w:rsid w:val="00367040"/>
    <w:rsid w:val="00372CF0"/>
    <w:rsid w:val="00373C53"/>
    <w:rsid w:val="00373D16"/>
    <w:rsid w:val="00376C6B"/>
    <w:rsid w:val="00380CEE"/>
    <w:rsid w:val="00385CD7"/>
    <w:rsid w:val="003919A4"/>
    <w:rsid w:val="00391C4A"/>
    <w:rsid w:val="00395728"/>
    <w:rsid w:val="003A000D"/>
    <w:rsid w:val="003A16D9"/>
    <w:rsid w:val="003B0587"/>
    <w:rsid w:val="003B44E9"/>
    <w:rsid w:val="003B61D5"/>
    <w:rsid w:val="003B630A"/>
    <w:rsid w:val="003B639B"/>
    <w:rsid w:val="003B79BD"/>
    <w:rsid w:val="003B7E98"/>
    <w:rsid w:val="003C04C5"/>
    <w:rsid w:val="003C0AF0"/>
    <w:rsid w:val="003C375F"/>
    <w:rsid w:val="003C4206"/>
    <w:rsid w:val="003C5A77"/>
    <w:rsid w:val="003C5C8D"/>
    <w:rsid w:val="003C6638"/>
    <w:rsid w:val="003C726E"/>
    <w:rsid w:val="003D063F"/>
    <w:rsid w:val="003D1B5D"/>
    <w:rsid w:val="003D2744"/>
    <w:rsid w:val="003D2CB3"/>
    <w:rsid w:val="003D4382"/>
    <w:rsid w:val="003D5A5C"/>
    <w:rsid w:val="003D65A5"/>
    <w:rsid w:val="003E01D6"/>
    <w:rsid w:val="003E4723"/>
    <w:rsid w:val="003E54B0"/>
    <w:rsid w:val="003E686F"/>
    <w:rsid w:val="003E6DD5"/>
    <w:rsid w:val="003E78E7"/>
    <w:rsid w:val="003E7CF4"/>
    <w:rsid w:val="003F34B4"/>
    <w:rsid w:val="003F34FB"/>
    <w:rsid w:val="003F3F21"/>
    <w:rsid w:val="003F580F"/>
    <w:rsid w:val="003F6EB5"/>
    <w:rsid w:val="003F741A"/>
    <w:rsid w:val="00401B3B"/>
    <w:rsid w:val="00407825"/>
    <w:rsid w:val="00410411"/>
    <w:rsid w:val="00410FF3"/>
    <w:rsid w:val="00411312"/>
    <w:rsid w:val="0041131B"/>
    <w:rsid w:val="004229CA"/>
    <w:rsid w:val="00422C35"/>
    <w:rsid w:val="00423311"/>
    <w:rsid w:val="00423624"/>
    <w:rsid w:val="0042492E"/>
    <w:rsid w:val="00424D61"/>
    <w:rsid w:val="004253A5"/>
    <w:rsid w:val="004256B8"/>
    <w:rsid w:val="0042616F"/>
    <w:rsid w:val="0042793B"/>
    <w:rsid w:val="004357F3"/>
    <w:rsid w:val="00440D80"/>
    <w:rsid w:val="00442C73"/>
    <w:rsid w:val="00445331"/>
    <w:rsid w:val="00451AA2"/>
    <w:rsid w:val="00453525"/>
    <w:rsid w:val="004543E7"/>
    <w:rsid w:val="004602BE"/>
    <w:rsid w:val="00460462"/>
    <w:rsid w:val="00463BA7"/>
    <w:rsid w:val="00465075"/>
    <w:rsid w:val="00466D55"/>
    <w:rsid w:val="00467561"/>
    <w:rsid w:val="0047182D"/>
    <w:rsid w:val="0047442E"/>
    <w:rsid w:val="0047745A"/>
    <w:rsid w:val="00481B32"/>
    <w:rsid w:val="0048584D"/>
    <w:rsid w:val="00485D8E"/>
    <w:rsid w:val="00485EA8"/>
    <w:rsid w:val="0048638C"/>
    <w:rsid w:val="00487718"/>
    <w:rsid w:val="00487FCC"/>
    <w:rsid w:val="00490117"/>
    <w:rsid w:val="00491F8E"/>
    <w:rsid w:val="00492395"/>
    <w:rsid w:val="00495D55"/>
    <w:rsid w:val="004A1E2C"/>
    <w:rsid w:val="004A2AB2"/>
    <w:rsid w:val="004A3503"/>
    <w:rsid w:val="004A5ABA"/>
    <w:rsid w:val="004B1D45"/>
    <w:rsid w:val="004B4C59"/>
    <w:rsid w:val="004C026E"/>
    <w:rsid w:val="004C0B41"/>
    <w:rsid w:val="004C0EFC"/>
    <w:rsid w:val="004C39A8"/>
    <w:rsid w:val="004C5013"/>
    <w:rsid w:val="004C5408"/>
    <w:rsid w:val="004C5F3D"/>
    <w:rsid w:val="004C6980"/>
    <w:rsid w:val="004D0EAF"/>
    <w:rsid w:val="004D2A5E"/>
    <w:rsid w:val="004D7C1F"/>
    <w:rsid w:val="004D7E80"/>
    <w:rsid w:val="004E233A"/>
    <w:rsid w:val="004E2E6C"/>
    <w:rsid w:val="004E582B"/>
    <w:rsid w:val="004E5CDD"/>
    <w:rsid w:val="004E6D5D"/>
    <w:rsid w:val="004F178A"/>
    <w:rsid w:val="004F62CE"/>
    <w:rsid w:val="004F67C2"/>
    <w:rsid w:val="004F7D43"/>
    <w:rsid w:val="005003CA"/>
    <w:rsid w:val="0050093A"/>
    <w:rsid w:val="00501848"/>
    <w:rsid w:val="0050221F"/>
    <w:rsid w:val="005031A5"/>
    <w:rsid w:val="00504130"/>
    <w:rsid w:val="005069D0"/>
    <w:rsid w:val="005070FF"/>
    <w:rsid w:val="00510BDA"/>
    <w:rsid w:val="00511ABA"/>
    <w:rsid w:val="00515F49"/>
    <w:rsid w:val="005162E3"/>
    <w:rsid w:val="00521349"/>
    <w:rsid w:val="005214CB"/>
    <w:rsid w:val="005236A3"/>
    <w:rsid w:val="00523A05"/>
    <w:rsid w:val="00526936"/>
    <w:rsid w:val="00527DA8"/>
    <w:rsid w:val="00532A44"/>
    <w:rsid w:val="0053310D"/>
    <w:rsid w:val="00535DDE"/>
    <w:rsid w:val="00535E63"/>
    <w:rsid w:val="00541D16"/>
    <w:rsid w:val="00542AB4"/>
    <w:rsid w:val="00546146"/>
    <w:rsid w:val="005465FC"/>
    <w:rsid w:val="00550BC3"/>
    <w:rsid w:val="00555262"/>
    <w:rsid w:val="00555BFA"/>
    <w:rsid w:val="00561B39"/>
    <w:rsid w:val="00562B07"/>
    <w:rsid w:val="005637E2"/>
    <w:rsid w:val="00567512"/>
    <w:rsid w:val="005719CE"/>
    <w:rsid w:val="005743E5"/>
    <w:rsid w:val="00574EA0"/>
    <w:rsid w:val="005755AA"/>
    <w:rsid w:val="00575D4F"/>
    <w:rsid w:val="00576225"/>
    <w:rsid w:val="00581431"/>
    <w:rsid w:val="005827FD"/>
    <w:rsid w:val="00582DA4"/>
    <w:rsid w:val="005830A3"/>
    <w:rsid w:val="0058365A"/>
    <w:rsid w:val="00584AC3"/>
    <w:rsid w:val="005906D3"/>
    <w:rsid w:val="0059180D"/>
    <w:rsid w:val="005932FC"/>
    <w:rsid w:val="00594599"/>
    <w:rsid w:val="0059646F"/>
    <w:rsid w:val="00596CC5"/>
    <w:rsid w:val="00597948"/>
    <w:rsid w:val="005A0995"/>
    <w:rsid w:val="005A0DCD"/>
    <w:rsid w:val="005A24F0"/>
    <w:rsid w:val="005A6D67"/>
    <w:rsid w:val="005B22B0"/>
    <w:rsid w:val="005B2DE1"/>
    <w:rsid w:val="005B3A2B"/>
    <w:rsid w:val="005B48FA"/>
    <w:rsid w:val="005B5D59"/>
    <w:rsid w:val="005B6F88"/>
    <w:rsid w:val="005C01C3"/>
    <w:rsid w:val="005C41AC"/>
    <w:rsid w:val="005C41EA"/>
    <w:rsid w:val="005C4921"/>
    <w:rsid w:val="005C6BD9"/>
    <w:rsid w:val="005D34D9"/>
    <w:rsid w:val="005D5AD5"/>
    <w:rsid w:val="005D68B0"/>
    <w:rsid w:val="005D6AC5"/>
    <w:rsid w:val="005E37F5"/>
    <w:rsid w:val="005E4A03"/>
    <w:rsid w:val="005E4FDE"/>
    <w:rsid w:val="005E55BE"/>
    <w:rsid w:val="005E6166"/>
    <w:rsid w:val="005F2D4E"/>
    <w:rsid w:val="005F32D5"/>
    <w:rsid w:val="005F4DBE"/>
    <w:rsid w:val="005F5AA5"/>
    <w:rsid w:val="00602565"/>
    <w:rsid w:val="0060256A"/>
    <w:rsid w:val="00603739"/>
    <w:rsid w:val="00603A02"/>
    <w:rsid w:val="0060513E"/>
    <w:rsid w:val="006078BB"/>
    <w:rsid w:val="006138D1"/>
    <w:rsid w:val="0061405C"/>
    <w:rsid w:val="00614BA9"/>
    <w:rsid w:val="00616203"/>
    <w:rsid w:val="00616565"/>
    <w:rsid w:val="00616E2D"/>
    <w:rsid w:val="00617210"/>
    <w:rsid w:val="00621F60"/>
    <w:rsid w:val="006250B5"/>
    <w:rsid w:val="006334A5"/>
    <w:rsid w:val="00633CA4"/>
    <w:rsid w:val="006368EC"/>
    <w:rsid w:val="006372EA"/>
    <w:rsid w:val="00637F9C"/>
    <w:rsid w:val="00644710"/>
    <w:rsid w:val="00646064"/>
    <w:rsid w:val="00647294"/>
    <w:rsid w:val="00650391"/>
    <w:rsid w:val="00653352"/>
    <w:rsid w:val="006545D8"/>
    <w:rsid w:val="00654FB1"/>
    <w:rsid w:val="00662111"/>
    <w:rsid w:val="00662232"/>
    <w:rsid w:val="0066358D"/>
    <w:rsid w:val="0066585E"/>
    <w:rsid w:val="00665961"/>
    <w:rsid w:val="00667367"/>
    <w:rsid w:val="00667513"/>
    <w:rsid w:val="006701AB"/>
    <w:rsid w:val="00672B3B"/>
    <w:rsid w:val="00673992"/>
    <w:rsid w:val="00675688"/>
    <w:rsid w:val="00676EB8"/>
    <w:rsid w:val="006814CA"/>
    <w:rsid w:val="00681FA3"/>
    <w:rsid w:val="00683159"/>
    <w:rsid w:val="00683F31"/>
    <w:rsid w:val="00685D6B"/>
    <w:rsid w:val="00686990"/>
    <w:rsid w:val="00686CEA"/>
    <w:rsid w:val="006904DC"/>
    <w:rsid w:val="00691ABA"/>
    <w:rsid w:val="00693157"/>
    <w:rsid w:val="00694883"/>
    <w:rsid w:val="006A13B0"/>
    <w:rsid w:val="006A2859"/>
    <w:rsid w:val="006A551B"/>
    <w:rsid w:val="006A59BE"/>
    <w:rsid w:val="006A6B7F"/>
    <w:rsid w:val="006B328A"/>
    <w:rsid w:val="006B5C7F"/>
    <w:rsid w:val="006B64B2"/>
    <w:rsid w:val="006C0BFC"/>
    <w:rsid w:val="006C417B"/>
    <w:rsid w:val="006C6261"/>
    <w:rsid w:val="006C7218"/>
    <w:rsid w:val="006C7718"/>
    <w:rsid w:val="006C7920"/>
    <w:rsid w:val="006C79BC"/>
    <w:rsid w:val="006D3094"/>
    <w:rsid w:val="006D41C4"/>
    <w:rsid w:val="006D469D"/>
    <w:rsid w:val="006D494E"/>
    <w:rsid w:val="006D5687"/>
    <w:rsid w:val="006D6E66"/>
    <w:rsid w:val="006D7170"/>
    <w:rsid w:val="006E1867"/>
    <w:rsid w:val="006E1D15"/>
    <w:rsid w:val="006E25E7"/>
    <w:rsid w:val="006E3884"/>
    <w:rsid w:val="006E630F"/>
    <w:rsid w:val="006E74AA"/>
    <w:rsid w:val="006F0970"/>
    <w:rsid w:val="006F201C"/>
    <w:rsid w:val="006F4270"/>
    <w:rsid w:val="006F713C"/>
    <w:rsid w:val="007002F3"/>
    <w:rsid w:val="00701DDC"/>
    <w:rsid w:val="007027E5"/>
    <w:rsid w:val="0070418A"/>
    <w:rsid w:val="00706FFD"/>
    <w:rsid w:val="0071042E"/>
    <w:rsid w:val="00712881"/>
    <w:rsid w:val="00715D86"/>
    <w:rsid w:val="007207B1"/>
    <w:rsid w:val="00721B47"/>
    <w:rsid w:val="00721D89"/>
    <w:rsid w:val="00722A41"/>
    <w:rsid w:val="00725788"/>
    <w:rsid w:val="00726379"/>
    <w:rsid w:val="00727052"/>
    <w:rsid w:val="007270C4"/>
    <w:rsid w:val="007276DF"/>
    <w:rsid w:val="0073058E"/>
    <w:rsid w:val="007307B1"/>
    <w:rsid w:val="00731F32"/>
    <w:rsid w:val="00732DFE"/>
    <w:rsid w:val="007332EC"/>
    <w:rsid w:val="0073424B"/>
    <w:rsid w:val="007363AF"/>
    <w:rsid w:val="00736990"/>
    <w:rsid w:val="00740A7E"/>
    <w:rsid w:val="00746719"/>
    <w:rsid w:val="00750404"/>
    <w:rsid w:val="00750C1F"/>
    <w:rsid w:val="00754BB4"/>
    <w:rsid w:val="00754EEF"/>
    <w:rsid w:val="007557CF"/>
    <w:rsid w:val="00757D7D"/>
    <w:rsid w:val="007608CC"/>
    <w:rsid w:val="007663DF"/>
    <w:rsid w:val="00766770"/>
    <w:rsid w:val="007727F2"/>
    <w:rsid w:val="007729CA"/>
    <w:rsid w:val="00772BC1"/>
    <w:rsid w:val="00776256"/>
    <w:rsid w:val="00776430"/>
    <w:rsid w:val="0078503B"/>
    <w:rsid w:val="00790EEF"/>
    <w:rsid w:val="0079312E"/>
    <w:rsid w:val="007948C4"/>
    <w:rsid w:val="00794CFC"/>
    <w:rsid w:val="00795DE1"/>
    <w:rsid w:val="007A0D72"/>
    <w:rsid w:val="007A1158"/>
    <w:rsid w:val="007A178D"/>
    <w:rsid w:val="007A1B5D"/>
    <w:rsid w:val="007A1F58"/>
    <w:rsid w:val="007A211B"/>
    <w:rsid w:val="007A4AC0"/>
    <w:rsid w:val="007A6099"/>
    <w:rsid w:val="007A7607"/>
    <w:rsid w:val="007B038B"/>
    <w:rsid w:val="007B245A"/>
    <w:rsid w:val="007B38F0"/>
    <w:rsid w:val="007C109B"/>
    <w:rsid w:val="007C5F1E"/>
    <w:rsid w:val="007D1C11"/>
    <w:rsid w:val="007D4CBB"/>
    <w:rsid w:val="007D5CAB"/>
    <w:rsid w:val="007D7A29"/>
    <w:rsid w:val="007E2A25"/>
    <w:rsid w:val="007E2EC0"/>
    <w:rsid w:val="007E4E04"/>
    <w:rsid w:val="007E708B"/>
    <w:rsid w:val="007F0E4A"/>
    <w:rsid w:val="007F357C"/>
    <w:rsid w:val="007F413C"/>
    <w:rsid w:val="007F676F"/>
    <w:rsid w:val="007F6FEA"/>
    <w:rsid w:val="007F7F43"/>
    <w:rsid w:val="00800195"/>
    <w:rsid w:val="00800810"/>
    <w:rsid w:val="0080163C"/>
    <w:rsid w:val="00802F96"/>
    <w:rsid w:val="0080766E"/>
    <w:rsid w:val="0081065A"/>
    <w:rsid w:val="00810A64"/>
    <w:rsid w:val="0081158F"/>
    <w:rsid w:val="00814520"/>
    <w:rsid w:val="008155B9"/>
    <w:rsid w:val="008159C2"/>
    <w:rsid w:val="008166F3"/>
    <w:rsid w:val="0081720D"/>
    <w:rsid w:val="00820363"/>
    <w:rsid w:val="00820735"/>
    <w:rsid w:val="008251B3"/>
    <w:rsid w:val="00826988"/>
    <w:rsid w:val="00827B83"/>
    <w:rsid w:val="00827BC5"/>
    <w:rsid w:val="0083351B"/>
    <w:rsid w:val="008340A7"/>
    <w:rsid w:val="008346FD"/>
    <w:rsid w:val="00834E20"/>
    <w:rsid w:val="00841D99"/>
    <w:rsid w:val="0084263F"/>
    <w:rsid w:val="00843FB6"/>
    <w:rsid w:val="0084457F"/>
    <w:rsid w:val="00845E30"/>
    <w:rsid w:val="00847CC0"/>
    <w:rsid w:val="00847ECC"/>
    <w:rsid w:val="0085072F"/>
    <w:rsid w:val="00852EA2"/>
    <w:rsid w:val="00853285"/>
    <w:rsid w:val="0085593A"/>
    <w:rsid w:val="0085706E"/>
    <w:rsid w:val="00860806"/>
    <w:rsid w:val="00861928"/>
    <w:rsid w:val="00863E16"/>
    <w:rsid w:val="0086592F"/>
    <w:rsid w:val="0086594F"/>
    <w:rsid w:val="008672C9"/>
    <w:rsid w:val="008710B7"/>
    <w:rsid w:val="00872770"/>
    <w:rsid w:val="008806B5"/>
    <w:rsid w:val="00880C26"/>
    <w:rsid w:val="008815C4"/>
    <w:rsid w:val="008825DC"/>
    <w:rsid w:val="00883795"/>
    <w:rsid w:val="00883E45"/>
    <w:rsid w:val="008849FF"/>
    <w:rsid w:val="00884EDE"/>
    <w:rsid w:val="00886869"/>
    <w:rsid w:val="00887347"/>
    <w:rsid w:val="0089071F"/>
    <w:rsid w:val="008912F3"/>
    <w:rsid w:val="00892C75"/>
    <w:rsid w:val="00894096"/>
    <w:rsid w:val="0089441C"/>
    <w:rsid w:val="00897C4C"/>
    <w:rsid w:val="008A2595"/>
    <w:rsid w:val="008A26DF"/>
    <w:rsid w:val="008A2C99"/>
    <w:rsid w:val="008A699A"/>
    <w:rsid w:val="008B0C34"/>
    <w:rsid w:val="008B0FA1"/>
    <w:rsid w:val="008B31BD"/>
    <w:rsid w:val="008B43AD"/>
    <w:rsid w:val="008B5D58"/>
    <w:rsid w:val="008C1D22"/>
    <w:rsid w:val="008C4548"/>
    <w:rsid w:val="008C58DE"/>
    <w:rsid w:val="008C59BC"/>
    <w:rsid w:val="008C5D07"/>
    <w:rsid w:val="008C5D1F"/>
    <w:rsid w:val="008E17A1"/>
    <w:rsid w:val="008E3BFD"/>
    <w:rsid w:val="008E49EC"/>
    <w:rsid w:val="008E756F"/>
    <w:rsid w:val="008E79F3"/>
    <w:rsid w:val="008F2401"/>
    <w:rsid w:val="008F3778"/>
    <w:rsid w:val="008F45E1"/>
    <w:rsid w:val="008F5A1F"/>
    <w:rsid w:val="008F65AE"/>
    <w:rsid w:val="008F7A73"/>
    <w:rsid w:val="009000F2"/>
    <w:rsid w:val="009010B5"/>
    <w:rsid w:val="0090174F"/>
    <w:rsid w:val="00903C4F"/>
    <w:rsid w:val="009046F1"/>
    <w:rsid w:val="00905E66"/>
    <w:rsid w:val="009066FD"/>
    <w:rsid w:val="00906765"/>
    <w:rsid w:val="00907E09"/>
    <w:rsid w:val="0091036D"/>
    <w:rsid w:val="0091301D"/>
    <w:rsid w:val="009142C0"/>
    <w:rsid w:val="00915827"/>
    <w:rsid w:val="00920101"/>
    <w:rsid w:val="00921481"/>
    <w:rsid w:val="0092180E"/>
    <w:rsid w:val="009218E8"/>
    <w:rsid w:val="00921CD2"/>
    <w:rsid w:val="00922D9B"/>
    <w:rsid w:val="009245B6"/>
    <w:rsid w:val="0092734D"/>
    <w:rsid w:val="00930BB0"/>
    <w:rsid w:val="0093235E"/>
    <w:rsid w:val="009345DE"/>
    <w:rsid w:val="009378B9"/>
    <w:rsid w:val="00937FDC"/>
    <w:rsid w:val="00940405"/>
    <w:rsid w:val="00942A93"/>
    <w:rsid w:val="00944DE7"/>
    <w:rsid w:val="00945A83"/>
    <w:rsid w:val="009464A6"/>
    <w:rsid w:val="00946743"/>
    <w:rsid w:val="00946777"/>
    <w:rsid w:val="0095206C"/>
    <w:rsid w:val="009534BC"/>
    <w:rsid w:val="00953B1E"/>
    <w:rsid w:val="00954528"/>
    <w:rsid w:val="009568C1"/>
    <w:rsid w:val="009611A6"/>
    <w:rsid w:val="00961BD4"/>
    <w:rsid w:val="00962A8D"/>
    <w:rsid w:val="00962F75"/>
    <w:rsid w:val="00971010"/>
    <w:rsid w:val="009720D1"/>
    <w:rsid w:val="00973E9C"/>
    <w:rsid w:val="00974463"/>
    <w:rsid w:val="00974534"/>
    <w:rsid w:val="009764D9"/>
    <w:rsid w:val="0098094F"/>
    <w:rsid w:val="009827F0"/>
    <w:rsid w:val="00983AB0"/>
    <w:rsid w:val="00986A40"/>
    <w:rsid w:val="009870AA"/>
    <w:rsid w:val="00990DD8"/>
    <w:rsid w:val="00993C4C"/>
    <w:rsid w:val="00994164"/>
    <w:rsid w:val="00995AE7"/>
    <w:rsid w:val="009970B0"/>
    <w:rsid w:val="009B2715"/>
    <w:rsid w:val="009B45AA"/>
    <w:rsid w:val="009B615E"/>
    <w:rsid w:val="009B65F1"/>
    <w:rsid w:val="009B7595"/>
    <w:rsid w:val="009C327E"/>
    <w:rsid w:val="009D1B2D"/>
    <w:rsid w:val="009D2A54"/>
    <w:rsid w:val="009D5430"/>
    <w:rsid w:val="009E1C65"/>
    <w:rsid w:val="009E378E"/>
    <w:rsid w:val="009E4082"/>
    <w:rsid w:val="009E41E0"/>
    <w:rsid w:val="009E4460"/>
    <w:rsid w:val="009E7B0B"/>
    <w:rsid w:val="009F1DE3"/>
    <w:rsid w:val="009F1F8B"/>
    <w:rsid w:val="009F29AA"/>
    <w:rsid w:val="009F529E"/>
    <w:rsid w:val="009F5E48"/>
    <w:rsid w:val="00A00866"/>
    <w:rsid w:val="00A06300"/>
    <w:rsid w:val="00A0754A"/>
    <w:rsid w:val="00A12D14"/>
    <w:rsid w:val="00A13507"/>
    <w:rsid w:val="00A156A2"/>
    <w:rsid w:val="00A15ADD"/>
    <w:rsid w:val="00A21734"/>
    <w:rsid w:val="00A21976"/>
    <w:rsid w:val="00A21ABE"/>
    <w:rsid w:val="00A22DD1"/>
    <w:rsid w:val="00A238FB"/>
    <w:rsid w:val="00A23D86"/>
    <w:rsid w:val="00A253B2"/>
    <w:rsid w:val="00A31526"/>
    <w:rsid w:val="00A31F11"/>
    <w:rsid w:val="00A338C6"/>
    <w:rsid w:val="00A33E20"/>
    <w:rsid w:val="00A34D0A"/>
    <w:rsid w:val="00A351AF"/>
    <w:rsid w:val="00A37198"/>
    <w:rsid w:val="00A400A4"/>
    <w:rsid w:val="00A437C2"/>
    <w:rsid w:val="00A43E28"/>
    <w:rsid w:val="00A510DD"/>
    <w:rsid w:val="00A5320E"/>
    <w:rsid w:val="00A57E75"/>
    <w:rsid w:val="00A60121"/>
    <w:rsid w:val="00A62C62"/>
    <w:rsid w:val="00A63B39"/>
    <w:rsid w:val="00A641BD"/>
    <w:rsid w:val="00A64AD7"/>
    <w:rsid w:val="00A653B2"/>
    <w:rsid w:val="00A661FE"/>
    <w:rsid w:val="00A66A8A"/>
    <w:rsid w:val="00A72467"/>
    <w:rsid w:val="00A740DC"/>
    <w:rsid w:val="00A75708"/>
    <w:rsid w:val="00A76ABF"/>
    <w:rsid w:val="00A7741C"/>
    <w:rsid w:val="00A779F5"/>
    <w:rsid w:val="00A82C91"/>
    <w:rsid w:val="00A82D34"/>
    <w:rsid w:val="00A82DD1"/>
    <w:rsid w:val="00A83AF1"/>
    <w:rsid w:val="00A840DA"/>
    <w:rsid w:val="00A858B0"/>
    <w:rsid w:val="00A874F7"/>
    <w:rsid w:val="00A87A9B"/>
    <w:rsid w:val="00A931BF"/>
    <w:rsid w:val="00A939AD"/>
    <w:rsid w:val="00A94C52"/>
    <w:rsid w:val="00A979B1"/>
    <w:rsid w:val="00AA1E69"/>
    <w:rsid w:val="00AA4942"/>
    <w:rsid w:val="00AA51CD"/>
    <w:rsid w:val="00AA57AB"/>
    <w:rsid w:val="00AA6067"/>
    <w:rsid w:val="00AA6375"/>
    <w:rsid w:val="00AA7EEC"/>
    <w:rsid w:val="00AB0E3E"/>
    <w:rsid w:val="00AB5CB7"/>
    <w:rsid w:val="00AC02FD"/>
    <w:rsid w:val="00AC0AAA"/>
    <w:rsid w:val="00AC3518"/>
    <w:rsid w:val="00AC6CFF"/>
    <w:rsid w:val="00AC6DBE"/>
    <w:rsid w:val="00AD1A94"/>
    <w:rsid w:val="00AD4058"/>
    <w:rsid w:val="00AD6492"/>
    <w:rsid w:val="00AE5D87"/>
    <w:rsid w:val="00AF7B1B"/>
    <w:rsid w:val="00B01113"/>
    <w:rsid w:val="00B045CA"/>
    <w:rsid w:val="00B10FB7"/>
    <w:rsid w:val="00B118AB"/>
    <w:rsid w:val="00B12516"/>
    <w:rsid w:val="00B162AA"/>
    <w:rsid w:val="00B17BEF"/>
    <w:rsid w:val="00B17DCB"/>
    <w:rsid w:val="00B207FA"/>
    <w:rsid w:val="00B20FF3"/>
    <w:rsid w:val="00B2217E"/>
    <w:rsid w:val="00B22720"/>
    <w:rsid w:val="00B235BA"/>
    <w:rsid w:val="00B23FA8"/>
    <w:rsid w:val="00B25628"/>
    <w:rsid w:val="00B26388"/>
    <w:rsid w:val="00B26BA6"/>
    <w:rsid w:val="00B27899"/>
    <w:rsid w:val="00B308FF"/>
    <w:rsid w:val="00B31366"/>
    <w:rsid w:val="00B32762"/>
    <w:rsid w:val="00B331A9"/>
    <w:rsid w:val="00B370CE"/>
    <w:rsid w:val="00B373C9"/>
    <w:rsid w:val="00B40EC6"/>
    <w:rsid w:val="00B42034"/>
    <w:rsid w:val="00B42BD1"/>
    <w:rsid w:val="00B44425"/>
    <w:rsid w:val="00B46921"/>
    <w:rsid w:val="00B469B7"/>
    <w:rsid w:val="00B472D1"/>
    <w:rsid w:val="00B47554"/>
    <w:rsid w:val="00B52F25"/>
    <w:rsid w:val="00B56408"/>
    <w:rsid w:val="00B56D9B"/>
    <w:rsid w:val="00B57A01"/>
    <w:rsid w:val="00B60031"/>
    <w:rsid w:val="00B61906"/>
    <w:rsid w:val="00B61B76"/>
    <w:rsid w:val="00B62782"/>
    <w:rsid w:val="00B63BE8"/>
    <w:rsid w:val="00B6631B"/>
    <w:rsid w:val="00B6707E"/>
    <w:rsid w:val="00B67186"/>
    <w:rsid w:val="00B673F4"/>
    <w:rsid w:val="00B67E79"/>
    <w:rsid w:val="00B746CF"/>
    <w:rsid w:val="00B75017"/>
    <w:rsid w:val="00B7788E"/>
    <w:rsid w:val="00B82ACB"/>
    <w:rsid w:val="00B82C2E"/>
    <w:rsid w:val="00B92B99"/>
    <w:rsid w:val="00B956D5"/>
    <w:rsid w:val="00BA17F2"/>
    <w:rsid w:val="00BA3135"/>
    <w:rsid w:val="00BA3BCD"/>
    <w:rsid w:val="00BA5BF8"/>
    <w:rsid w:val="00BA7252"/>
    <w:rsid w:val="00BB0705"/>
    <w:rsid w:val="00BB42AC"/>
    <w:rsid w:val="00BB526B"/>
    <w:rsid w:val="00BB5BD6"/>
    <w:rsid w:val="00BB65F6"/>
    <w:rsid w:val="00BB6CD0"/>
    <w:rsid w:val="00BC1FFB"/>
    <w:rsid w:val="00BC2B26"/>
    <w:rsid w:val="00BC2F9A"/>
    <w:rsid w:val="00BD0F56"/>
    <w:rsid w:val="00BD3E3F"/>
    <w:rsid w:val="00BD4193"/>
    <w:rsid w:val="00BD744F"/>
    <w:rsid w:val="00BD796E"/>
    <w:rsid w:val="00BE0471"/>
    <w:rsid w:val="00BE0C32"/>
    <w:rsid w:val="00BE36F3"/>
    <w:rsid w:val="00BE39F5"/>
    <w:rsid w:val="00BE41D1"/>
    <w:rsid w:val="00BE732B"/>
    <w:rsid w:val="00BE73D3"/>
    <w:rsid w:val="00BE7B91"/>
    <w:rsid w:val="00BF0CB0"/>
    <w:rsid w:val="00BF4452"/>
    <w:rsid w:val="00BF4FD6"/>
    <w:rsid w:val="00BF6A3C"/>
    <w:rsid w:val="00BF6C6F"/>
    <w:rsid w:val="00BF6C85"/>
    <w:rsid w:val="00C00A22"/>
    <w:rsid w:val="00C022D3"/>
    <w:rsid w:val="00C03FA2"/>
    <w:rsid w:val="00C0579E"/>
    <w:rsid w:val="00C15EAA"/>
    <w:rsid w:val="00C205BA"/>
    <w:rsid w:val="00C20CF5"/>
    <w:rsid w:val="00C23ABF"/>
    <w:rsid w:val="00C23E4A"/>
    <w:rsid w:val="00C2450C"/>
    <w:rsid w:val="00C2494D"/>
    <w:rsid w:val="00C27FD2"/>
    <w:rsid w:val="00C312E5"/>
    <w:rsid w:val="00C31B7E"/>
    <w:rsid w:val="00C3537F"/>
    <w:rsid w:val="00C36A0C"/>
    <w:rsid w:val="00C4364E"/>
    <w:rsid w:val="00C438C5"/>
    <w:rsid w:val="00C44B8F"/>
    <w:rsid w:val="00C453E5"/>
    <w:rsid w:val="00C46887"/>
    <w:rsid w:val="00C47FFC"/>
    <w:rsid w:val="00C52A85"/>
    <w:rsid w:val="00C540B9"/>
    <w:rsid w:val="00C552E7"/>
    <w:rsid w:val="00C62B79"/>
    <w:rsid w:val="00C66949"/>
    <w:rsid w:val="00C67F83"/>
    <w:rsid w:val="00C7292C"/>
    <w:rsid w:val="00C7358B"/>
    <w:rsid w:val="00C74E81"/>
    <w:rsid w:val="00C759A5"/>
    <w:rsid w:val="00C76641"/>
    <w:rsid w:val="00C806F9"/>
    <w:rsid w:val="00C80C02"/>
    <w:rsid w:val="00C86382"/>
    <w:rsid w:val="00C878C9"/>
    <w:rsid w:val="00C94759"/>
    <w:rsid w:val="00C95885"/>
    <w:rsid w:val="00C960DA"/>
    <w:rsid w:val="00CB1759"/>
    <w:rsid w:val="00CC26CC"/>
    <w:rsid w:val="00CC379D"/>
    <w:rsid w:val="00CC6D84"/>
    <w:rsid w:val="00CC73A6"/>
    <w:rsid w:val="00CD4660"/>
    <w:rsid w:val="00CD744B"/>
    <w:rsid w:val="00CE1DF4"/>
    <w:rsid w:val="00CE3646"/>
    <w:rsid w:val="00CE6029"/>
    <w:rsid w:val="00CF7A2C"/>
    <w:rsid w:val="00D00464"/>
    <w:rsid w:val="00D018BA"/>
    <w:rsid w:val="00D01E0A"/>
    <w:rsid w:val="00D02425"/>
    <w:rsid w:val="00D02FBA"/>
    <w:rsid w:val="00D04A9F"/>
    <w:rsid w:val="00D05882"/>
    <w:rsid w:val="00D071D5"/>
    <w:rsid w:val="00D1007B"/>
    <w:rsid w:val="00D100F4"/>
    <w:rsid w:val="00D146BE"/>
    <w:rsid w:val="00D171E4"/>
    <w:rsid w:val="00D17AA3"/>
    <w:rsid w:val="00D20D4F"/>
    <w:rsid w:val="00D21E74"/>
    <w:rsid w:val="00D230F2"/>
    <w:rsid w:val="00D23DF9"/>
    <w:rsid w:val="00D248E1"/>
    <w:rsid w:val="00D2490C"/>
    <w:rsid w:val="00D25288"/>
    <w:rsid w:val="00D3235E"/>
    <w:rsid w:val="00D42E95"/>
    <w:rsid w:val="00D43DB6"/>
    <w:rsid w:val="00D43F37"/>
    <w:rsid w:val="00D45D79"/>
    <w:rsid w:val="00D45FE6"/>
    <w:rsid w:val="00D5071B"/>
    <w:rsid w:val="00D5347B"/>
    <w:rsid w:val="00D577EE"/>
    <w:rsid w:val="00D62542"/>
    <w:rsid w:val="00D72CB5"/>
    <w:rsid w:val="00D72FDE"/>
    <w:rsid w:val="00D7565B"/>
    <w:rsid w:val="00D77155"/>
    <w:rsid w:val="00D77755"/>
    <w:rsid w:val="00D8027D"/>
    <w:rsid w:val="00D8064B"/>
    <w:rsid w:val="00D808B8"/>
    <w:rsid w:val="00D82840"/>
    <w:rsid w:val="00D838B7"/>
    <w:rsid w:val="00D83EEA"/>
    <w:rsid w:val="00D843D3"/>
    <w:rsid w:val="00D84EA4"/>
    <w:rsid w:val="00D8507A"/>
    <w:rsid w:val="00D91433"/>
    <w:rsid w:val="00D92E8B"/>
    <w:rsid w:val="00D93E23"/>
    <w:rsid w:val="00D944F5"/>
    <w:rsid w:val="00D953CF"/>
    <w:rsid w:val="00D95C7B"/>
    <w:rsid w:val="00D95CD3"/>
    <w:rsid w:val="00D96B6E"/>
    <w:rsid w:val="00D96E9C"/>
    <w:rsid w:val="00DA079E"/>
    <w:rsid w:val="00DA1FE8"/>
    <w:rsid w:val="00DA3767"/>
    <w:rsid w:val="00DA57B2"/>
    <w:rsid w:val="00DA63A0"/>
    <w:rsid w:val="00DB5187"/>
    <w:rsid w:val="00DC0537"/>
    <w:rsid w:val="00DC2082"/>
    <w:rsid w:val="00DC2EC1"/>
    <w:rsid w:val="00DC4ADA"/>
    <w:rsid w:val="00DC502A"/>
    <w:rsid w:val="00DC51A0"/>
    <w:rsid w:val="00DD078A"/>
    <w:rsid w:val="00DD1B6D"/>
    <w:rsid w:val="00DD2366"/>
    <w:rsid w:val="00DD3FD7"/>
    <w:rsid w:val="00DD4884"/>
    <w:rsid w:val="00DD5567"/>
    <w:rsid w:val="00DD5916"/>
    <w:rsid w:val="00DD6D30"/>
    <w:rsid w:val="00DE06DB"/>
    <w:rsid w:val="00DE0A74"/>
    <w:rsid w:val="00DE47E3"/>
    <w:rsid w:val="00DE6853"/>
    <w:rsid w:val="00DF0AED"/>
    <w:rsid w:val="00DF3F7A"/>
    <w:rsid w:val="00DF42DA"/>
    <w:rsid w:val="00DF5DC4"/>
    <w:rsid w:val="00E024FE"/>
    <w:rsid w:val="00E02CE4"/>
    <w:rsid w:val="00E02D00"/>
    <w:rsid w:val="00E02F48"/>
    <w:rsid w:val="00E0503D"/>
    <w:rsid w:val="00E07012"/>
    <w:rsid w:val="00E07031"/>
    <w:rsid w:val="00E11B79"/>
    <w:rsid w:val="00E13827"/>
    <w:rsid w:val="00E13CA3"/>
    <w:rsid w:val="00E146BB"/>
    <w:rsid w:val="00E15629"/>
    <w:rsid w:val="00E15D73"/>
    <w:rsid w:val="00E16239"/>
    <w:rsid w:val="00E16455"/>
    <w:rsid w:val="00E218D0"/>
    <w:rsid w:val="00E21C22"/>
    <w:rsid w:val="00E21ECA"/>
    <w:rsid w:val="00E23F7C"/>
    <w:rsid w:val="00E27D20"/>
    <w:rsid w:val="00E301C7"/>
    <w:rsid w:val="00E31398"/>
    <w:rsid w:val="00E34283"/>
    <w:rsid w:val="00E36E5A"/>
    <w:rsid w:val="00E417FF"/>
    <w:rsid w:val="00E41B7A"/>
    <w:rsid w:val="00E44EC9"/>
    <w:rsid w:val="00E46A5D"/>
    <w:rsid w:val="00E477B9"/>
    <w:rsid w:val="00E5575D"/>
    <w:rsid w:val="00E57024"/>
    <w:rsid w:val="00E57B8C"/>
    <w:rsid w:val="00E62EE5"/>
    <w:rsid w:val="00E62F32"/>
    <w:rsid w:val="00E62FDC"/>
    <w:rsid w:val="00E657AA"/>
    <w:rsid w:val="00E7149E"/>
    <w:rsid w:val="00E71683"/>
    <w:rsid w:val="00E73652"/>
    <w:rsid w:val="00E77BB7"/>
    <w:rsid w:val="00E80C41"/>
    <w:rsid w:val="00E84C72"/>
    <w:rsid w:val="00E85D90"/>
    <w:rsid w:val="00E86635"/>
    <w:rsid w:val="00E86BCF"/>
    <w:rsid w:val="00E86D09"/>
    <w:rsid w:val="00E873DF"/>
    <w:rsid w:val="00E87FDE"/>
    <w:rsid w:val="00E907DA"/>
    <w:rsid w:val="00E91E1E"/>
    <w:rsid w:val="00E94279"/>
    <w:rsid w:val="00E96D65"/>
    <w:rsid w:val="00E97D08"/>
    <w:rsid w:val="00EA04F6"/>
    <w:rsid w:val="00EA06F5"/>
    <w:rsid w:val="00EA25FA"/>
    <w:rsid w:val="00EA4705"/>
    <w:rsid w:val="00EA4BC0"/>
    <w:rsid w:val="00EA6655"/>
    <w:rsid w:val="00EA7659"/>
    <w:rsid w:val="00EB2A60"/>
    <w:rsid w:val="00EB3683"/>
    <w:rsid w:val="00EB77E2"/>
    <w:rsid w:val="00EB7BDE"/>
    <w:rsid w:val="00EC1CBA"/>
    <w:rsid w:val="00EC29C1"/>
    <w:rsid w:val="00EC3C63"/>
    <w:rsid w:val="00EC6C90"/>
    <w:rsid w:val="00EC7FEC"/>
    <w:rsid w:val="00ED2ADB"/>
    <w:rsid w:val="00ED5594"/>
    <w:rsid w:val="00ED6191"/>
    <w:rsid w:val="00ED7084"/>
    <w:rsid w:val="00ED73C9"/>
    <w:rsid w:val="00ED75B9"/>
    <w:rsid w:val="00ED7852"/>
    <w:rsid w:val="00EE11DC"/>
    <w:rsid w:val="00EE1722"/>
    <w:rsid w:val="00EE188A"/>
    <w:rsid w:val="00EE1913"/>
    <w:rsid w:val="00EE4133"/>
    <w:rsid w:val="00EE74EE"/>
    <w:rsid w:val="00EF7277"/>
    <w:rsid w:val="00F00FD1"/>
    <w:rsid w:val="00F02828"/>
    <w:rsid w:val="00F0389B"/>
    <w:rsid w:val="00F054B0"/>
    <w:rsid w:val="00F058B9"/>
    <w:rsid w:val="00F05AFA"/>
    <w:rsid w:val="00F115DB"/>
    <w:rsid w:val="00F118ED"/>
    <w:rsid w:val="00F153FC"/>
    <w:rsid w:val="00F15B49"/>
    <w:rsid w:val="00F165A8"/>
    <w:rsid w:val="00F1786A"/>
    <w:rsid w:val="00F17BD8"/>
    <w:rsid w:val="00F20027"/>
    <w:rsid w:val="00F20047"/>
    <w:rsid w:val="00F22CFE"/>
    <w:rsid w:val="00F2328B"/>
    <w:rsid w:val="00F23F94"/>
    <w:rsid w:val="00F26C2E"/>
    <w:rsid w:val="00F27507"/>
    <w:rsid w:val="00F3065E"/>
    <w:rsid w:val="00F31C83"/>
    <w:rsid w:val="00F3227A"/>
    <w:rsid w:val="00F326E4"/>
    <w:rsid w:val="00F32953"/>
    <w:rsid w:val="00F33B1C"/>
    <w:rsid w:val="00F34416"/>
    <w:rsid w:val="00F35510"/>
    <w:rsid w:val="00F41BA6"/>
    <w:rsid w:val="00F44A34"/>
    <w:rsid w:val="00F450C1"/>
    <w:rsid w:val="00F45447"/>
    <w:rsid w:val="00F52B1F"/>
    <w:rsid w:val="00F547FF"/>
    <w:rsid w:val="00F6129E"/>
    <w:rsid w:val="00F63690"/>
    <w:rsid w:val="00F64A83"/>
    <w:rsid w:val="00F70B81"/>
    <w:rsid w:val="00F71E7C"/>
    <w:rsid w:val="00F72253"/>
    <w:rsid w:val="00F72538"/>
    <w:rsid w:val="00F72984"/>
    <w:rsid w:val="00F72A26"/>
    <w:rsid w:val="00F764EF"/>
    <w:rsid w:val="00F81363"/>
    <w:rsid w:val="00F8431D"/>
    <w:rsid w:val="00F849F0"/>
    <w:rsid w:val="00F85402"/>
    <w:rsid w:val="00F902A6"/>
    <w:rsid w:val="00F91F0A"/>
    <w:rsid w:val="00F92300"/>
    <w:rsid w:val="00F9296F"/>
    <w:rsid w:val="00F92B98"/>
    <w:rsid w:val="00F93BCB"/>
    <w:rsid w:val="00F95008"/>
    <w:rsid w:val="00F97A22"/>
    <w:rsid w:val="00FA08E6"/>
    <w:rsid w:val="00FA0934"/>
    <w:rsid w:val="00FA6995"/>
    <w:rsid w:val="00FA7EC2"/>
    <w:rsid w:val="00FB0BE1"/>
    <w:rsid w:val="00FB188C"/>
    <w:rsid w:val="00FB2C52"/>
    <w:rsid w:val="00FB60E0"/>
    <w:rsid w:val="00FC1F74"/>
    <w:rsid w:val="00FD06F4"/>
    <w:rsid w:val="00FD103C"/>
    <w:rsid w:val="00FD1310"/>
    <w:rsid w:val="00FD1AEF"/>
    <w:rsid w:val="00FD66C1"/>
    <w:rsid w:val="00FE007F"/>
    <w:rsid w:val="00FE2202"/>
    <w:rsid w:val="00FE32B6"/>
    <w:rsid w:val="00FE448B"/>
    <w:rsid w:val="00FE4BE5"/>
    <w:rsid w:val="00FE5292"/>
    <w:rsid w:val="00FF4CD6"/>
    <w:rsid w:val="00FF6E7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EA675AE"/>
  <w15:chartTrackingRefBased/>
  <w15:docId w15:val="{91457220-1A62-4404-A2A9-14604282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DBE"/>
    <w:rPr>
      <w:rFonts w:ascii="Times New Roman" w:eastAsia="Times New Roman" w:hAnsi="Times New Roman"/>
      <w:lang w:val="en-US" w:eastAsia="en-US"/>
    </w:rPr>
  </w:style>
  <w:style w:type="paragraph" w:styleId="Heading1">
    <w:name w:val="heading 1"/>
    <w:basedOn w:val="Normal"/>
    <w:next w:val="Normal"/>
    <w:link w:val="Heading1Char"/>
    <w:qFormat/>
    <w:rsid w:val="00937FDC"/>
    <w:pPr>
      <w:keepNext/>
      <w:outlineLvl w:val="0"/>
    </w:pPr>
    <w:rPr>
      <w:b/>
      <w:sz w:val="24"/>
      <w:lang w:val="x-none" w:eastAsia="x-none"/>
    </w:rPr>
  </w:style>
  <w:style w:type="paragraph" w:styleId="Heading3">
    <w:name w:val="heading 3"/>
    <w:basedOn w:val="Normal"/>
    <w:next w:val="Normal"/>
    <w:link w:val="Heading3Char"/>
    <w:qFormat/>
    <w:rsid w:val="00937FDC"/>
    <w:pPr>
      <w:keepNext/>
      <w:jc w:val="both"/>
      <w:outlineLvl w:val="2"/>
    </w:pPr>
    <w:rPr>
      <w:i/>
      <w:i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FDC"/>
    <w:rPr>
      <w:rFonts w:ascii="Times New Roman" w:eastAsia="Times New Roman" w:hAnsi="Times New Roman" w:cs="Times New Roman"/>
      <w:b/>
      <w:sz w:val="24"/>
      <w:szCs w:val="20"/>
    </w:rPr>
  </w:style>
  <w:style w:type="character" w:customStyle="1" w:styleId="Heading3Char">
    <w:name w:val="Heading 3 Char"/>
    <w:link w:val="Heading3"/>
    <w:rsid w:val="00937FDC"/>
    <w:rPr>
      <w:rFonts w:ascii="Times New Roman" w:eastAsia="Times New Roman" w:hAnsi="Times New Roman" w:cs="Times New Roman"/>
      <w:i/>
      <w:iCs/>
      <w:sz w:val="24"/>
      <w:szCs w:val="20"/>
    </w:rPr>
  </w:style>
  <w:style w:type="paragraph" w:styleId="BodyTextIndent">
    <w:name w:val="Body Text Indent"/>
    <w:basedOn w:val="Normal"/>
    <w:link w:val="BodyTextIndentChar"/>
    <w:rsid w:val="00937FDC"/>
    <w:pPr>
      <w:ind w:left="360"/>
      <w:jc w:val="both"/>
    </w:pPr>
    <w:rPr>
      <w:lang w:val="x-none" w:eastAsia="x-none"/>
    </w:rPr>
  </w:style>
  <w:style w:type="character" w:customStyle="1" w:styleId="BodyTextIndentChar">
    <w:name w:val="Body Text Indent Char"/>
    <w:link w:val="BodyTextIndent"/>
    <w:rsid w:val="00937FDC"/>
    <w:rPr>
      <w:rFonts w:ascii="Times New Roman" w:eastAsia="Times New Roman" w:hAnsi="Times New Roman" w:cs="Times New Roman"/>
      <w:szCs w:val="20"/>
    </w:rPr>
  </w:style>
  <w:style w:type="paragraph" w:styleId="Footer">
    <w:name w:val="footer"/>
    <w:basedOn w:val="Normal"/>
    <w:link w:val="FooterChar"/>
    <w:rsid w:val="00937FDC"/>
    <w:pPr>
      <w:tabs>
        <w:tab w:val="center" w:pos="4320"/>
        <w:tab w:val="right" w:pos="8640"/>
      </w:tabs>
    </w:pPr>
    <w:rPr>
      <w:lang w:val="x-none" w:eastAsia="x-none"/>
    </w:rPr>
  </w:style>
  <w:style w:type="character" w:customStyle="1" w:styleId="FooterChar">
    <w:name w:val="Footer Char"/>
    <w:link w:val="Footer"/>
    <w:rsid w:val="00937FDC"/>
    <w:rPr>
      <w:rFonts w:ascii="Times New Roman" w:eastAsia="Times New Roman" w:hAnsi="Times New Roman" w:cs="Times New Roman"/>
      <w:sz w:val="20"/>
      <w:szCs w:val="20"/>
    </w:rPr>
  </w:style>
  <w:style w:type="character" w:styleId="PageNumber">
    <w:name w:val="page number"/>
    <w:basedOn w:val="DefaultParagraphFont"/>
    <w:rsid w:val="00937FDC"/>
  </w:style>
  <w:style w:type="paragraph" w:styleId="ListParagraph">
    <w:name w:val="List Paragraph"/>
    <w:basedOn w:val="Normal"/>
    <w:uiPriority w:val="34"/>
    <w:qFormat/>
    <w:rsid w:val="00D92E8B"/>
    <w:pPr>
      <w:ind w:left="720"/>
      <w:contextualSpacing/>
    </w:pPr>
  </w:style>
  <w:style w:type="table" w:styleId="TableGrid">
    <w:name w:val="Table Grid"/>
    <w:basedOn w:val="TableNormal"/>
    <w:uiPriority w:val="59"/>
    <w:rsid w:val="00F17B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6C417B"/>
    <w:pPr>
      <w:spacing w:after="120"/>
    </w:pPr>
    <w:rPr>
      <w:lang w:val="x-none" w:eastAsia="x-none"/>
    </w:rPr>
  </w:style>
  <w:style w:type="character" w:customStyle="1" w:styleId="BodyTextChar">
    <w:name w:val="Body Text Char"/>
    <w:link w:val="BodyText"/>
    <w:uiPriority w:val="99"/>
    <w:rsid w:val="006C417B"/>
    <w:rPr>
      <w:rFonts w:ascii="Times New Roman" w:eastAsia="Times New Roman" w:hAnsi="Times New Roman"/>
    </w:rPr>
  </w:style>
  <w:style w:type="paragraph" w:customStyle="1" w:styleId="StyleBodyTextLeft127cm">
    <w:name w:val="Style Body Text + Left:  1.27 cm"/>
    <w:basedOn w:val="BodyText"/>
    <w:rsid w:val="000944A0"/>
    <w:pPr>
      <w:spacing w:before="120"/>
      <w:ind w:left="720"/>
      <w:jc w:val="both"/>
    </w:pPr>
    <w:rPr>
      <w:rFonts w:ascii="Arial" w:hAnsi="Arial"/>
      <w:sz w:val="18"/>
      <w:lang w:val="en-GB" w:eastAsia="en-US"/>
    </w:rPr>
  </w:style>
  <w:style w:type="paragraph" w:styleId="Header">
    <w:name w:val="header"/>
    <w:basedOn w:val="Normal"/>
    <w:link w:val="HeaderChar"/>
    <w:uiPriority w:val="99"/>
    <w:semiHidden/>
    <w:unhideWhenUsed/>
    <w:rsid w:val="0080163C"/>
    <w:pPr>
      <w:tabs>
        <w:tab w:val="center" w:pos="4536"/>
        <w:tab w:val="right" w:pos="9072"/>
      </w:tabs>
    </w:pPr>
  </w:style>
  <w:style w:type="character" w:customStyle="1" w:styleId="HeaderChar">
    <w:name w:val="Header Char"/>
    <w:link w:val="Header"/>
    <w:uiPriority w:val="99"/>
    <w:semiHidden/>
    <w:rsid w:val="0080163C"/>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4D0EAF"/>
    <w:rPr>
      <w:rFonts w:ascii="Segoe UI" w:hAnsi="Segoe UI"/>
      <w:sz w:val="18"/>
      <w:szCs w:val="18"/>
    </w:rPr>
  </w:style>
  <w:style w:type="character" w:customStyle="1" w:styleId="BalloonTextChar">
    <w:name w:val="Balloon Text Char"/>
    <w:link w:val="BalloonText"/>
    <w:uiPriority w:val="99"/>
    <w:semiHidden/>
    <w:rsid w:val="004D0EAF"/>
    <w:rPr>
      <w:rFonts w:ascii="Segoe UI" w:eastAsia="Times New Roman" w:hAnsi="Segoe UI" w:cs="Segoe UI"/>
      <w:sz w:val="18"/>
      <w:szCs w:val="18"/>
      <w:lang w:val="en-US" w:eastAsia="en-US"/>
    </w:rPr>
  </w:style>
  <w:style w:type="paragraph" w:styleId="NoSpacing">
    <w:name w:val="No Spacing"/>
    <w:uiPriority w:val="1"/>
    <w:qFormat/>
    <w:rsid w:val="001046A1"/>
    <w:pPr>
      <w:jc w:val="both"/>
    </w:pPr>
    <w:rPr>
      <w:rFonts w:ascii="Arial" w:eastAsia="Times New Roman" w:hAnsi="Arial"/>
      <w:sz w:val="17"/>
      <w:szCs w:val="24"/>
      <w:lang w:val="en-GB" w:eastAsia="en-US"/>
    </w:rPr>
  </w:style>
  <w:style w:type="paragraph" w:styleId="Revision">
    <w:name w:val="Revision"/>
    <w:hidden/>
    <w:uiPriority w:val="99"/>
    <w:semiHidden/>
    <w:rsid w:val="00B47554"/>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0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Microsoft_Excel_97-2003_Worksheet2.xls"/><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Excel_97-2003_Worksheet4.xls"/><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oleObject" Target="embeddings/Microsoft_Excel_97-2003_Worksheet3.xls"/><Relationship Id="rId10" Type="http://schemas.openxmlformats.org/officeDocument/2006/relationships/image" Target="media/image1.emf"/><Relationship Id="rId19" Type="http://schemas.openxmlformats.org/officeDocument/2006/relationships/oleObject" Target="embeddings/Microsoft_Excel_97-2003_Worksheet5.xls"/><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140BB-C7FD-4DC8-A4E8-9DEEB08E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PERMAJU INDUSTRIES BERHAD</vt:lpstr>
    </vt:vector>
  </TitlesOfParts>
  <Company/>
  <LinksUpToDate>false</LinksUpToDate>
  <CharactersWithSpaces>16024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PERMAJU INDUSTRIES BERHAD</dc:title>
  <dc:subject/>
  <dc:creator>accountant</dc:creator>
  <cp:keywords/>
  <dc:description/>
  <cp:lastModifiedBy>CGZ - Terry Hia</cp:lastModifiedBy>
  <cp:revision>2</cp:revision>
  <cp:lastPrinted>2017-11-20T12:53:00Z</cp:lastPrinted>
  <dcterms:created xsi:type="dcterms:W3CDTF">2017-11-21T01:05:00Z</dcterms:created>
  <dcterms:modified xsi:type="dcterms:W3CDTF">2017-11-21T01:05:00Z</dcterms:modified>
  <cp:contentStatus/>
</cp:coreProperties>
</file>